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right="1239"/>
        <w:spacing w:after="0" w:line="277" w:lineRule="auto"/>
        <w:rPr>
          <w:sz w:val="20"/>
          <w:szCs w:val="20"/>
          <w:color w:val="auto"/>
        </w:rPr>
      </w:pPr>
      <w:r>
        <w:rPr>
          <w:rFonts w:ascii="Times New Roman" w:cs="Times New Roman" w:eastAsia="Times New Roman" w:hAnsi="Times New Roman"/>
          <w:sz w:val="43"/>
          <w:szCs w:val="43"/>
          <w:color w:val="auto"/>
        </w:rPr>
        <w:drawing>
          <wp:anchor simplePos="0" relativeHeight="251657728" behindDoc="1" locked="0" layoutInCell="0" allowOverlap="1">
            <wp:simplePos x="0" y="0"/>
            <wp:positionH relativeFrom="page">
              <wp:posOffset>195580</wp:posOffset>
            </wp:positionH>
            <wp:positionV relativeFrom="page">
              <wp:posOffset>144780</wp:posOffset>
            </wp:positionV>
            <wp:extent cx="7157720" cy="42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57720" cy="42545"/>
                    </a:xfrm>
                    <a:prstGeom prst="rect">
                      <a:avLst/>
                    </a:prstGeom>
                    <a:noFill/>
                  </pic:spPr>
                </pic:pic>
              </a:graphicData>
            </a:graphic>
          </wp:anchor>
        </w:drawing>
        <w:drawing>
          <wp:anchor simplePos="0" relativeHeight="251657728" behindDoc="1" locked="0" layoutInCell="0" allowOverlap="1">
            <wp:simplePos x="0" y="0"/>
            <wp:positionH relativeFrom="page">
              <wp:posOffset>195580</wp:posOffset>
            </wp:positionH>
            <wp:positionV relativeFrom="page">
              <wp:posOffset>453390</wp:posOffset>
            </wp:positionV>
            <wp:extent cx="7157720" cy="425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7157720" cy="42545"/>
                    </a:xfrm>
                    <a:prstGeom prst="rect">
                      <a:avLst/>
                    </a:prstGeom>
                    <a:noFill/>
                  </pic:spPr>
                </pic:pic>
              </a:graphicData>
            </a:graphic>
          </wp:anchor>
        </w:drawing>
        <w:t>SECURITIES AND EXCHANGE COMMISSION Washington, D.C. 20549</w:t>
      </w:r>
    </w:p>
    <w:p>
      <w:pPr>
        <w:spacing w:after="0" w:line="400" w:lineRule="exact"/>
        <w:rPr>
          <w:sz w:val="24"/>
          <w:szCs w:val="24"/>
          <w:color w:val="auto"/>
        </w:rPr>
      </w:pPr>
    </w:p>
    <w:p>
      <w:pPr>
        <w:spacing w:after="0"/>
        <w:rPr>
          <w:sz w:val="20"/>
          <w:szCs w:val="20"/>
          <w:color w:val="auto"/>
        </w:rPr>
      </w:pPr>
      <w:r>
        <w:rPr>
          <w:rFonts w:ascii="Times New Roman" w:cs="Times New Roman" w:eastAsia="Times New Roman" w:hAnsi="Times New Roman"/>
          <w:sz w:val="32"/>
          <w:szCs w:val="32"/>
          <w:color w:val="auto"/>
        </w:rPr>
        <w:t>SCHEDULE 13G</w:t>
      </w:r>
    </w:p>
    <w:p>
      <w:pPr>
        <w:spacing w:after="0" w:line="200" w:lineRule="exact"/>
        <w:rPr>
          <w:sz w:val="24"/>
          <w:szCs w:val="24"/>
          <w:color w:val="auto"/>
        </w:rPr>
      </w:pPr>
    </w:p>
    <w:p>
      <w:pPr>
        <w:spacing w:after="0" w:line="346" w:lineRule="exact"/>
        <w:rPr>
          <w:sz w:val="24"/>
          <w:szCs w:val="24"/>
          <w:color w:val="auto"/>
        </w:rPr>
      </w:pPr>
    </w:p>
    <w:p>
      <w:pPr>
        <w:spacing w:after="0"/>
        <w:rPr>
          <w:sz w:val="20"/>
          <w:szCs w:val="20"/>
          <w:color w:val="auto"/>
        </w:rPr>
      </w:pPr>
      <w:r>
        <w:rPr>
          <w:rFonts w:ascii="Times New Roman" w:cs="Times New Roman" w:eastAsia="Times New Roman" w:hAnsi="Times New Roman"/>
          <w:sz w:val="26"/>
          <w:szCs w:val="26"/>
          <w:color w:val="auto"/>
        </w:rPr>
        <w:t>UNDER THE SECURITIES EXCHANGE ACT OF 1934</w:t>
      </w:r>
    </w:p>
    <w:p>
      <w:pPr>
        <w:spacing w:after="0" w:line="106" w:lineRule="exact"/>
        <w:rPr>
          <w:sz w:val="24"/>
          <w:szCs w:val="24"/>
          <w:color w:val="auto"/>
        </w:rPr>
      </w:pPr>
    </w:p>
    <w:p>
      <w:pPr>
        <w:jc w:val="center"/>
        <w:ind w:right="1119"/>
        <w:spacing w:after="0"/>
        <w:rPr>
          <w:sz w:val="20"/>
          <w:szCs w:val="20"/>
          <w:color w:val="auto"/>
        </w:rPr>
      </w:pPr>
      <w:r>
        <w:rPr>
          <w:rFonts w:ascii="Times New Roman" w:cs="Times New Roman" w:eastAsia="Times New Roman" w:hAnsi="Times New Roman"/>
          <w:sz w:val="22"/>
          <w:szCs w:val="22"/>
          <w:b w:val="1"/>
          <w:bCs w:val="1"/>
          <w:color w:val="0000FF"/>
        </w:rPr>
        <w:t>MicroStrategy Incorporated</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-6985</wp:posOffset>
            </wp:positionH>
            <wp:positionV relativeFrom="paragraph">
              <wp:posOffset>69215</wp:posOffset>
            </wp:positionV>
            <wp:extent cx="5717540" cy="425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17540" cy="42545"/>
                    </a:xfrm>
                    <a:prstGeom prst="rect">
                      <a:avLst/>
                    </a:prstGeom>
                    <a:noFill/>
                  </pic:spPr>
                </pic:pic>
              </a:graphicData>
            </a:graphic>
          </wp:anchor>
        </w:drawing>
      </w:r>
    </w:p>
    <w:p>
      <w:pPr>
        <w:spacing w:after="0" w:line="213" w:lineRule="exact"/>
        <w:rPr>
          <w:sz w:val="24"/>
          <w:szCs w:val="24"/>
          <w:color w:val="auto"/>
        </w:rPr>
      </w:pPr>
    </w:p>
    <w:p>
      <w:pPr>
        <w:ind w:left="3720"/>
        <w:spacing w:after="0"/>
        <w:rPr>
          <w:sz w:val="20"/>
          <w:szCs w:val="20"/>
          <w:color w:val="auto"/>
        </w:rPr>
      </w:pPr>
      <w:r>
        <w:rPr>
          <w:rFonts w:ascii="Times New Roman" w:cs="Times New Roman" w:eastAsia="Times New Roman" w:hAnsi="Times New Roman"/>
          <w:sz w:val="22"/>
          <w:szCs w:val="22"/>
          <w:b w:val="1"/>
          <w:bCs w:val="1"/>
          <w:color w:val="auto"/>
        </w:rPr>
        <w:t>(Name of Issuer)</w:t>
      </w:r>
    </w:p>
    <w:p>
      <w:pPr>
        <w:spacing w:after="0" w:line="200" w:lineRule="exact"/>
        <w:rPr>
          <w:sz w:val="24"/>
          <w:szCs w:val="24"/>
          <w:color w:val="auto"/>
        </w:rPr>
      </w:pPr>
    </w:p>
    <w:p>
      <w:pPr>
        <w:spacing w:after="0" w:line="330" w:lineRule="exact"/>
        <w:rPr>
          <w:sz w:val="24"/>
          <w:szCs w:val="24"/>
          <w:color w:val="auto"/>
        </w:rPr>
      </w:pPr>
    </w:p>
    <w:p>
      <w:pPr>
        <w:jc w:val="center"/>
        <w:ind w:right="1119"/>
        <w:spacing w:after="0"/>
        <w:rPr>
          <w:sz w:val="20"/>
          <w:szCs w:val="20"/>
          <w:color w:val="auto"/>
        </w:rPr>
      </w:pPr>
      <w:r>
        <w:rPr>
          <w:rFonts w:ascii="Times New Roman" w:cs="Times New Roman" w:eastAsia="Times New Roman" w:hAnsi="Times New Roman"/>
          <w:sz w:val="22"/>
          <w:szCs w:val="22"/>
          <w:b w:val="1"/>
          <w:bCs w:val="1"/>
          <w:color w:val="0000FF"/>
        </w:rPr>
        <w:t>Class A Common Stock, par value $0.001 per share</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-6985</wp:posOffset>
            </wp:positionH>
            <wp:positionV relativeFrom="paragraph">
              <wp:posOffset>69215</wp:posOffset>
            </wp:positionV>
            <wp:extent cx="5717540" cy="425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717540" cy="42545"/>
                    </a:xfrm>
                    <a:prstGeom prst="rect">
                      <a:avLst/>
                    </a:prstGeom>
                    <a:noFill/>
                  </pic:spPr>
                </pic:pic>
              </a:graphicData>
            </a:graphic>
          </wp:anchor>
        </w:drawing>
      </w:r>
    </w:p>
    <w:p>
      <w:pPr>
        <w:spacing w:after="0" w:line="213" w:lineRule="exact"/>
        <w:rPr>
          <w:sz w:val="24"/>
          <w:szCs w:val="24"/>
          <w:color w:val="auto"/>
        </w:rPr>
      </w:pPr>
    </w:p>
    <w:p>
      <w:pPr>
        <w:ind w:left="3220"/>
        <w:spacing w:after="0"/>
        <w:rPr>
          <w:sz w:val="20"/>
          <w:szCs w:val="20"/>
          <w:color w:val="auto"/>
        </w:rPr>
      </w:pPr>
      <w:r>
        <w:rPr>
          <w:rFonts w:ascii="Times New Roman" w:cs="Times New Roman" w:eastAsia="Times New Roman" w:hAnsi="Times New Roman"/>
          <w:sz w:val="22"/>
          <w:szCs w:val="22"/>
          <w:b w:val="1"/>
          <w:bCs w:val="1"/>
          <w:color w:val="auto"/>
        </w:rPr>
        <w:t>(Title of Class of Securities)</w:t>
      </w:r>
    </w:p>
    <w:p>
      <w:pPr>
        <w:spacing w:after="0" w:line="200" w:lineRule="exact"/>
        <w:rPr>
          <w:sz w:val="24"/>
          <w:szCs w:val="24"/>
          <w:color w:val="auto"/>
        </w:rPr>
      </w:pPr>
    </w:p>
    <w:p>
      <w:pPr>
        <w:spacing w:after="0" w:line="330" w:lineRule="exact"/>
        <w:rPr>
          <w:sz w:val="24"/>
          <w:szCs w:val="24"/>
          <w:color w:val="auto"/>
        </w:rPr>
      </w:pPr>
    </w:p>
    <w:p>
      <w:pPr>
        <w:jc w:val="center"/>
        <w:ind w:right="1119"/>
        <w:spacing w:after="0"/>
        <w:rPr>
          <w:sz w:val="20"/>
          <w:szCs w:val="20"/>
          <w:color w:val="auto"/>
        </w:rPr>
      </w:pPr>
      <w:r>
        <w:rPr>
          <w:rFonts w:ascii="Times New Roman" w:cs="Times New Roman" w:eastAsia="Times New Roman" w:hAnsi="Times New Roman"/>
          <w:sz w:val="22"/>
          <w:szCs w:val="22"/>
          <w:b w:val="1"/>
          <w:bCs w:val="1"/>
          <w:color w:val="0000FF"/>
        </w:rPr>
        <w:t>594972408</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-6985</wp:posOffset>
            </wp:positionH>
            <wp:positionV relativeFrom="paragraph">
              <wp:posOffset>69215</wp:posOffset>
            </wp:positionV>
            <wp:extent cx="5717540" cy="425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5717540" cy="42545"/>
                    </a:xfrm>
                    <a:prstGeom prst="rect">
                      <a:avLst/>
                    </a:prstGeom>
                    <a:noFill/>
                  </pic:spPr>
                </pic:pic>
              </a:graphicData>
            </a:graphic>
          </wp:anchor>
        </w:drawing>
      </w:r>
    </w:p>
    <w:p>
      <w:pPr>
        <w:spacing w:after="0" w:line="213" w:lineRule="exact"/>
        <w:rPr>
          <w:sz w:val="24"/>
          <w:szCs w:val="24"/>
          <w:color w:val="auto"/>
        </w:rPr>
      </w:pPr>
    </w:p>
    <w:p>
      <w:pPr>
        <w:ind w:left="3680"/>
        <w:spacing w:after="0"/>
        <w:rPr>
          <w:sz w:val="20"/>
          <w:szCs w:val="20"/>
          <w:color w:val="auto"/>
        </w:rPr>
      </w:pPr>
      <w:r>
        <w:rPr>
          <w:rFonts w:ascii="Times New Roman" w:cs="Times New Roman" w:eastAsia="Times New Roman" w:hAnsi="Times New Roman"/>
          <w:sz w:val="22"/>
          <w:szCs w:val="22"/>
          <w:b w:val="1"/>
          <w:bCs w:val="1"/>
          <w:color w:val="auto"/>
        </w:rPr>
        <w:t>(CUSIP Number)</w:t>
      </w:r>
    </w:p>
    <w:p>
      <w:pPr>
        <w:spacing w:after="0" w:line="200" w:lineRule="exact"/>
        <w:rPr>
          <w:sz w:val="24"/>
          <w:szCs w:val="24"/>
          <w:color w:val="auto"/>
        </w:rPr>
      </w:pPr>
    </w:p>
    <w:p>
      <w:pPr>
        <w:spacing w:after="0" w:line="330" w:lineRule="exact"/>
        <w:rPr>
          <w:sz w:val="24"/>
          <w:szCs w:val="24"/>
          <w:color w:val="auto"/>
        </w:rPr>
      </w:pPr>
    </w:p>
    <w:p>
      <w:pPr>
        <w:jc w:val="center"/>
        <w:ind w:right="1119"/>
        <w:spacing w:after="0"/>
        <w:rPr>
          <w:sz w:val="20"/>
          <w:szCs w:val="20"/>
          <w:color w:val="auto"/>
        </w:rPr>
      </w:pPr>
      <w:r>
        <w:rPr>
          <w:rFonts w:ascii="Times New Roman" w:cs="Times New Roman" w:eastAsia="Times New Roman" w:hAnsi="Times New Roman"/>
          <w:sz w:val="22"/>
          <w:szCs w:val="22"/>
          <w:b w:val="1"/>
          <w:bCs w:val="1"/>
          <w:color w:val="0000FF"/>
        </w:rPr>
        <w:t>12/31/2024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-6985</wp:posOffset>
            </wp:positionH>
            <wp:positionV relativeFrom="paragraph">
              <wp:posOffset>69215</wp:posOffset>
            </wp:positionV>
            <wp:extent cx="5717540" cy="4254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5717540" cy="42545"/>
                    </a:xfrm>
                    <a:prstGeom prst="rect">
                      <a:avLst/>
                    </a:prstGeom>
                    <a:noFill/>
                  </pic:spPr>
                </pic:pic>
              </a:graphicData>
            </a:graphic>
          </wp:anchor>
        </w:drawing>
      </w:r>
    </w:p>
    <w:p>
      <w:pPr>
        <w:spacing w:after="0" w:line="213" w:lineRule="exact"/>
        <w:rPr>
          <w:sz w:val="24"/>
          <w:szCs w:val="24"/>
          <w:color w:val="auto"/>
        </w:rPr>
      </w:pPr>
    </w:p>
    <w:p>
      <w:pPr>
        <w:ind w:left="1920"/>
        <w:spacing w:after="0"/>
        <w:rPr>
          <w:sz w:val="20"/>
          <w:szCs w:val="20"/>
          <w:color w:val="auto"/>
        </w:rPr>
      </w:pPr>
      <w:r>
        <w:rPr>
          <w:rFonts w:ascii="Times New Roman" w:cs="Times New Roman" w:eastAsia="Times New Roman" w:hAnsi="Times New Roman"/>
          <w:sz w:val="22"/>
          <w:szCs w:val="22"/>
          <w:b w:val="1"/>
          <w:bCs w:val="1"/>
          <w:color w:val="auto"/>
        </w:rPr>
        <w:t>(Date of Event Which Requires Filing of this Statement)</w:t>
      </w:r>
    </w:p>
    <w:p>
      <w:pPr>
        <w:spacing w:after="0" w:line="200" w:lineRule="exact"/>
        <w:rPr>
          <w:sz w:val="24"/>
          <w:szCs w:val="24"/>
          <w:color w:val="auto"/>
        </w:rPr>
      </w:pPr>
    </w:p>
    <w:p>
      <w:pPr>
        <w:spacing w:after="0" w:line="36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Check the appropriate box to designate the rule pursuant to which this Schedule is filed:</w:t>
      </w:r>
    </w:p>
    <w:p>
      <w:pPr>
        <w:spacing w:after="0" w:line="58" w:lineRule="exact"/>
        <w:rPr>
          <w:sz w:val="24"/>
          <w:szCs w:val="24"/>
          <w:color w:val="auto"/>
        </w:rPr>
      </w:pPr>
    </w:p>
    <w:p>
      <w:pPr>
        <w:ind w:left="380"/>
        <w:spacing w:after="0"/>
        <w:rPr>
          <w:sz w:val="20"/>
          <w:szCs w:val="20"/>
          <w:color w:val="auto"/>
        </w:rPr>
      </w:pPr>
      <w:r>
        <w:rPr>
          <w:rFonts w:ascii="Times New Roman" w:cs="Times New Roman" w:eastAsia="Times New Roman" w:hAnsi="Times New Roman"/>
          <w:sz w:val="22"/>
          <w:szCs w:val="22"/>
          <w:color w:val="auto"/>
        </w:rPr>
        <w:t>Rule 13d-1(b)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-151130</wp:posOffset>
            </wp:positionV>
            <wp:extent cx="128905" cy="128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38" w:lineRule="exact"/>
        <w:rPr>
          <w:sz w:val="24"/>
          <w:szCs w:val="24"/>
          <w:color w:val="auto"/>
        </w:rPr>
      </w:pPr>
    </w:p>
    <w:p>
      <w:pPr>
        <w:ind w:left="380"/>
        <w:spacing w:after="0"/>
        <w:rPr>
          <w:sz w:val="20"/>
          <w:szCs w:val="20"/>
          <w:color w:val="auto"/>
        </w:rPr>
      </w:pPr>
      <w:r>
        <w:rPr>
          <w:rFonts w:ascii="Times New Roman" w:cs="Times New Roman" w:eastAsia="Times New Roman" w:hAnsi="Times New Roman"/>
          <w:sz w:val="22"/>
          <w:szCs w:val="22"/>
          <w:color w:val="auto"/>
        </w:rPr>
        <w:t>Rule 13d-1(c)</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-151130</wp:posOffset>
            </wp:positionV>
            <wp:extent cx="128905" cy="128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38" w:lineRule="exact"/>
        <w:rPr>
          <w:sz w:val="24"/>
          <w:szCs w:val="24"/>
          <w:color w:val="auto"/>
        </w:rPr>
      </w:pPr>
    </w:p>
    <w:p>
      <w:pPr>
        <w:ind w:left="380"/>
        <w:spacing w:after="0"/>
        <w:rPr>
          <w:sz w:val="20"/>
          <w:szCs w:val="20"/>
          <w:color w:val="auto"/>
        </w:rPr>
      </w:pPr>
      <w:r>
        <w:rPr>
          <w:rFonts w:ascii="Times New Roman" w:cs="Times New Roman" w:eastAsia="Times New Roman" w:hAnsi="Times New Roman"/>
          <w:sz w:val="22"/>
          <w:szCs w:val="22"/>
          <w:color w:val="auto"/>
        </w:rPr>
        <w:t>Rule 13d-1(d)</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-32385</wp:posOffset>
            </wp:positionH>
            <wp:positionV relativeFrom="paragraph">
              <wp:posOffset>92710</wp:posOffset>
            </wp:positionV>
            <wp:extent cx="7157720" cy="425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7157720" cy="42545"/>
                    </a:xfrm>
                    <a:prstGeom prst="rect">
                      <a:avLst/>
                    </a:prstGeom>
                    <a:noFill/>
                  </pic:spPr>
                </pic:pic>
              </a:graphicData>
            </a:graphic>
          </wp:anchor>
        </w:drawing>
        <w:drawing>
          <wp:anchor simplePos="0" relativeHeight="251657728" behindDoc="1" locked="0" layoutInCell="0" allowOverlap="1">
            <wp:simplePos x="0" y="0"/>
            <wp:positionH relativeFrom="column">
              <wp:posOffset>-32385</wp:posOffset>
            </wp:positionH>
            <wp:positionV relativeFrom="paragraph">
              <wp:posOffset>178435</wp:posOffset>
            </wp:positionV>
            <wp:extent cx="7157720" cy="425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-151130</wp:posOffset>
            </wp:positionV>
            <wp:extent cx="128905" cy="12890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ind w:left="20"/>
        <w:spacing w:after="0"/>
        <w:rPr>
          <w:sz w:val="20"/>
          <w:szCs w:val="20"/>
          <w:color w:val="auto"/>
        </w:rPr>
      </w:pPr>
      <w:r>
        <w:rPr>
          <w:rFonts w:ascii="Times New Roman" w:cs="Times New Roman" w:eastAsia="Times New Roman" w:hAnsi="Times New Roman"/>
          <w:sz w:val="26"/>
          <w:szCs w:val="26"/>
          <w:color w:val="auto"/>
        </w:rPr>
        <w:t>SCHEDULE 13G</w:t>
      </w:r>
    </w:p>
    <w:p>
      <w:pPr>
        <w:spacing w:after="0" w:line="295"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b w:val="1"/>
          <w:bCs w:val="1"/>
          <w:color w:val="auto"/>
        </w:rPr>
        <w:t xml:space="preserve">CUSIP No. </w:t>
      </w:r>
      <w:r>
        <w:rPr>
          <w:rFonts w:ascii="Times New Roman" w:cs="Times New Roman" w:eastAsia="Times New Roman" w:hAnsi="Times New Roman"/>
          <w:sz w:val="19"/>
          <w:szCs w:val="19"/>
          <w:color w:val="auto"/>
        </w:rPr>
        <w:t>594972408</w:t>
      </w:r>
    </w:p>
    <w:p>
      <w:pPr>
        <w:spacing w:after="0" w:line="200" w:lineRule="exact"/>
        <w:rPr>
          <w:sz w:val="24"/>
          <w:szCs w:val="24"/>
          <w:color w:val="auto"/>
        </w:rPr>
      </w:pPr>
    </w:p>
    <w:p>
      <w:pPr>
        <w:spacing w:after="0" w:line="361" w:lineRule="exact"/>
        <w:rPr>
          <w:sz w:val="24"/>
          <w:szCs w:val="24"/>
          <w:color w:val="auto"/>
        </w:rPr>
      </w:pPr>
    </w:p>
    <w:p>
      <w:pPr>
        <w:ind w:left="1120"/>
        <w:spacing w:after="0"/>
        <w:rPr>
          <w:sz w:val="20"/>
          <w:szCs w:val="20"/>
          <w:color w:val="auto"/>
        </w:rPr>
      </w:pPr>
      <w:r>
        <w:rPr>
          <w:rFonts w:ascii="Times New Roman" w:cs="Times New Roman" w:eastAsia="Times New Roman" w:hAnsi="Times New Roman"/>
          <w:sz w:val="22"/>
          <w:szCs w:val="22"/>
          <w:color w:val="auto"/>
        </w:rPr>
        <w:t>Names of Reporting Persons</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w:t>
      </w:r>
    </w:p>
    <w:p>
      <w:pPr>
        <w:ind w:left="1120"/>
        <w:spacing w:after="0"/>
        <w:rPr>
          <w:sz w:val="20"/>
          <w:szCs w:val="20"/>
          <w:color w:val="auto"/>
        </w:rPr>
      </w:pPr>
      <w:r>
        <w:rPr>
          <w:rFonts w:ascii="Times New Roman" w:cs="Times New Roman" w:eastAsia="Times New Roman" w:hAnsi="Times New Roman"/>
          <w:sz w:val="22"/>
          <w:szCs w:val="22"/>
          <w:color w:val="auto"/>
        </w:rPr>
        <w:t>G1 Execution Services, LLC</w:t>
      </w:r>
    </w:p>
    <w:p>
      <w:pPr>
        <w:spacing w:after="0" w:line="20" w:lineRule="exact"/>
        <w:rPr>
          <w:sz w:val="24"/>
          <w:szCs w:val="24"/>
          <w:color w:val="auto"/>
        </w:rPr>
      </w:pPr>
    </w:p>
    <w:p>
      <w:pPr>
        <w:ind w:left="1120"/>
        <w:spacing w:after="0"/>
        <w:rPr>
          <w:sz w:val="20"/>
          <w:szCs w:val="20"/>
          <w:color w:val="auto"/>
        </w:rPr>
      </w:pPr>
      <w:r>
        <w:rPr>
          <w:rFonts w:ascii="Times New Roman" w:cs="Times New Roman" w:eastAsia="Times New Roman" w:hAnsi="Times New Roman"/>
          <w:sz w:val="22"/>
          <w:szCs w:val="22"/>
          <w:color w:val="auto"/>
        </w:rPr>
        <w:t>Check the appropriate box if a member of a Group (see instructions)</w:t>
      </w:r>
    </w:p>
    <w:p>
      <w:pPr>
        <w:spacing w:after="0" w:line="33" w:lineRule="exact"/>
        <w:rPr>
          <w:sz w:val="24"/>
          <w:szCs w:val="24"/>
          <w:color w:val="auto"/>
        </w:rPr>
      </w:pPr>
    </w:p>
    <w:p>
      <w:pPr>
        <w:ind w:left="1120" w:hanging="1112"/>
        <w:spacing w:after="0"/>
        <w:tabs>
          <w:tab w:leader="none" w:pos="1120" w:val="left"/>
        </w:tabs>
        <w:numPr>
          <w:ilvl w:val="0"/>
          <w:numId w:val="1"/>
        </w:numPr>
        <w:rPr>
          <w:rFonts w:ascii="Times New Roman" w:cs="Times New Roman" w:eastAsia="Times New Roman" w:hAnsi="Times New Roman"/>
          <w:sz w:val="43"/>
          <w:szCs w:val="43"/>
          <w:color w:val="auto"/>
          <w:vertAlign w:val="superscript"/>
        </w:rPr>
      </w:pPr>
      <w:r>
        <w:rPr>
          <w:sz w:val="1"/>
          <w:szCs w:val="1"/>
          <w:color w:val="auto"/>
        </w:rPr>
        <w:drawing>
          <wp:inline distT="0" distB="0" distL="0" distR="0">
            <wp:extent cx="128905" cy="1289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w:t>
      </w:r>
    </w:p>
    <w:p>
      <w:pPr>
        <w:ind w:left="1120"/>
        <w:spacing w:after="0"/>
        <w:rPr>
          <w:rFonts w:ascii="Times New Roman" w:cs="Times New Roman" w:eastAsia="Times New Roman" w:hAnsi="Times New Roman"/>
          <w:sz w:val="43"/>
          <w:szCs w:val="43"/>
          <w:color w:val="auto"/>
          <w:vertAlign w:val="superscript"/>
        </w:rPr>
      </w:pPr>
      <w:r>
        <w:rPr>
          <w:rFonts w:ascii="Times New Roman" w:cs="Times New Roman" w:eastAsia="Times New Roman" w:hAnsi="Times New Roman"/>
          <w:sz w:val="1"/>
          <w:szCs w:val="1"/>
          <w:color w:val="auto"/>
          <w:vertAlign w:val="superscript"/>
        </w:rPr>
        <w:drawing>
          <wp:inline distT="0" distB="0" distL="0" distR="0">
            <wp:extent cx="128905" cy="128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w:t>
      </w:r>
    </w:p>
    <w:p>
      <w:pPr>
        <w:spacing w:after="0" w:line="30" w:lineRule="exact"/>
        <w:rPr>
          <w:sz w:val="24"/>
          <w:szCs w:val="24"/>
          <w:color w:val="auto"/>
        </w:rPr>
      </w:pPr>
    </w:p>
    <w:p>
      <w:pPr>
        <w:ind w:left="1120" w:hanging="1112"/>
        <w:spacing w:after="0"/>
        <w:tabs>
          <w:tab w:leader="none" w:pos="1120" w:val="left"/>
        </w:tabs>
        <w:numPr>
          <w:ilvl w:val="0"/>
          <w:numId w:val="2"/>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Sec Use Only</w:t>
      </w:r>
    </w:p>
    <w:p>
      <w:pPr>
        <w:spacing w:after="0" w:line="44" w:lineRule="exact"/>
        <w:rPr>
          <w:sz w:val="24"/>
          <w:szCs w:val="24"/>
          <w:color w:val="auto"/>
        </w:rPr>
      </w:pPr>
    </w:p>
    <w:p>
      <w:pPr>
        <w:ind w:left="1120"/>
        <w:spacing w:after="0"/>
        <w:rPr>
          <w:sz w:val="20"/>
          <w:szCs w:val="20"/>
          <w:color w:val="auto"/>
        </w:rPr>
      </w:pPr>
      <w:r>
        <w:rPr>
          <w:rFonts w:ascii="Times New Roman" w:cs="Times New Roman" w:eastAsia="Times New Roman" w:hAnsi="Times New Roman"/>
          <w:sz w:val="22"/>
          <w:szCs w:val="22"/>
          <w:color w:val="auto"/>
        </w:rPr>
        <w:t>Citizenship or Place of Organization</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4</w:t>
      </w:r>
    </w:p>
    <w:p>
      <w:pPr>
        <w:ind w:left="1120"/>
        <w:spacing w:after="0"/>
        <w:rPr>
          <w:sz w:val="20"/>
          <w:szCs w:val="20"/>
          <w:color w:val="auto"/>
        </w:rPr>
      </w:pPr>
      <w:r>
        <w:rPr>
          <w:rFonts w:ascii="Times New Roman" w:cs="Times New Roman" w:eastAsia="Times New Roman" w:hAnsi="Times New Roman"/>
          <w:sz w:val="22"/>
          <w:szCs w:val="22"/>
          <w:color w:val="auto"/>
        </w:rPr>
        <w:t>ILLINOIS</w:t>
      </w:r>
    </w:p>
    <w:p>
      <w:pPr>
        <w:spacing w:after="0" w:line="233" w:lineRule="auto"/>
        <w:tabs>
          <w:tab w:leader="none" w:pos="1140" w:val="left"/>
        </w:tabs>
        <w:rPr>
          <w:sz w:val="20"/>
          <w:szCs w:val="20"/>
          <w:color w:val="auto"/>
        </w:rPr>
      </w:pPr>
      <w:r>
        <w:rPr>
          <w:rFonts w:ascii="Times New Roman" w:cs="Times New Roman" w:eastAsia="Times New Roman" w:hAnsi="Times New Roman"/>
          <w:sz w:val="33"/>
          <w:szCs w:val="33"/>
          <w:color w:val="auto"/>
          <w:vertAlign w:val="superscript"/>
        </w:rPr>
        <w:t>Number of</w:t>
      </w:r>
      <w:r>
        <w:rPr>
          <w:sz w:val="20"/>
          <w:szCs w:val="20"/>
          <w:color w:val="auto"/>
        </w:rPr>
        <w:tab/>
      </w:r>
      <w:r>
        <w:rPr>
          <w:rFonts w:ascii="Times New Roman" w:cs="Times New Roman" w:eastAsia="Times New Roman" w:hAnsi="Times New Roman"/>
          <w:sz w:val="22"/>
          <w:szCs w:val="22"/>
          <w:color w:val="auto"/>
        </w:rPr>
        <w:t>5 Sole Voting Power</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Shares</w:t>
      </w:r>
    </w:p>
    <w:p>
      <w:pPr>
        <w:sectPr>
          <w:pgSz w:w="11900" w:h="16838" w:orient="portrait"/>
          <w:cols w:equalWidth="0" w:num="1">
            <w:col w:w="10099"/>
          </w:cols>
          <w:pgMar w:left="360" w:top="866" w:right="1440" w:bottom="0" w:gutter="0" w:footer="0" w:header="0"/>
        </w:sectPr>
      </w:pPr>
    </w:p>
    <w:bookmarkStart w:id="1" w:name="page2"/>
    <w:bookmarkEnd w:id="1"/>
    <w:p>
      <w:pPr>
        <w:ind w:left="40"/>
        <w:spacing w:after="0"/>
        <w:rPr>
          <w:sz w:val="20"/>
          <w:szCs w:val="20"/>
          <w:color w:val="auto"/>
        </w:rPr>
      </w:pPr>
      <w:r>
        <w:rPr>
          <w:rFonts w:ascii="Times New Roman" w:cs="Times New Roman" w:eastAsia="Times New Roman" w:hAnsi="Times New Roman"/>
          <w:sz w:val="21"/>
          <w:szCs w:val="21"/>
          <w:color w:val="auto"/>
        </w:rPr>
        <w:t>Beneficially</w:t>
      </w:r>
    </w:p>
    <w:p>
      <w:pPr>
        <w:spacing w:after="0" w:line="1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Owned by</w:t>
      </w:r>
    </w:p>
    <w:p>
      <w:pPr>
        <w:ind w:left="40"/>
        <w:spacing w:after="0" w:line="230" w:lineRule="auto"/>
        <w:rPr>
          <w:sz w:val="20"/>
          <w:szCs w:val="20"/>
          <w:color w:val="auto"/>
        </w:rPr>
      </w:pPr>
      <w:r>
        <w:rPr>
          <w:rFonts w:ascii="Times New Roman" w:cs="Times New Roman" w:eastAsia="Times New Roman" w:hAnsi="Times New Roman"/>
          <w:sz w:val="22"/>
          <w:szCs w:val="22"/>
          <w:color w:val="auto"/>
        </w:rPr>
        <w:t>Each</w:t>
      </w:r>
    </w:p>
    <w:p>
      <w:pPr>
        <w:ind w:left="40"/>
        <w:spacing w:after="0" w:line="231" w:lineRule="auto"/>
        <w:rPr>
          <w:sz w:val="20"/>
          <w:szCs w:val="20"/>
          <w:color w:val="auto"/>
        </w:rPr>
      </w:pPr>
      <w:r>
        <w:rPr>
          <w:rFonts w:ascii="Times New Roman" w:cs="Times New Roman" w:eastAsia="Times New Roman" w:hAnsi="Times New Roman"/>
          <w:sz w:val="22"/>
          <w:szCs w:val="22"/>
          <w:color w:val="auto"/>
        </w:rPr>
        <w:t>Reporting</w:t>
      </w:r>
    </w:p>
    <w:p>
      <w:pPr>
        <w:ind w:left="40"/>
        <w:spacing w:after="0" w:line="230" w:lineRule="auto"/>
        <w:rPr>
          <w:sz w:val="20"/>
          <w:szCs w:val="20"/>
          <w:color w:val="auto"/>
        </w:rPr>
      </w:pPr>
      <w:r>
        <w:rPr>
          <w:rFonts w:ascii="Times New Roman" w:cs="Times New Roman" w:eastAsia="Times New Roman" w:hAnsi="Times New Roman"/>
          <w:sz w:val="22"/>
          <w:szCs w:val="22"/>
          <w:color w:val="auto"/>
        </w:rPr>
        <w:t>Person</w:t>
      </w:r>
    </w:p>
    <w:p>
      <w:pPr>
        <w:spacing w:after="0" w:line="1"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With:</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1"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9</w:t>
      </w:r>
    </w:p>
    <w:p>
      <w:pPr>
        <w:spacing w:after="0" w:line="200" w:lineRule="exact"/>
        <w:rPr>
          <w:sz w:val="20"/>
          <w:szCs w:val="20"/>
          <w:color w:val="auto"/>
        </w:rPr>
      </w:pPr>
    </w:p>
    <w:p>
      <w:pPr>
        <w:spacing w:after="0" w:line="30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10</w:t>
      </w:r>
    </w:p>
    <w:p>
      <w:pPr>
        <w:spacing w:after="0" w:line="200" w:lineRule="exact"/>
        <w:rPr>
          <w:sz w:val="20"/>
          <w:szCs w:val="20"/>
          <w:color w:val="auto"/>
        </w:rPr>
      </w:pPr>
    </w:p>
    <w:p>
      <w:pPr>
        <w:spacing w:after="0" w:line="31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11</w:t>
      </w:r>
    </w:p>
    <w:p>
      <w:pPr>
        <w:spacing w:after="0" w:line="200" w:lineRule="exact"/>
        <w:rPr>
          <w:sz w:val="20"/>
          <w:szCs w:val="20"/>
          <w:color w:val="auto"/>
        </w:rPr>
      </w:pPr>
    </w:p>
    <w:p>
      <w:pPr>
        <w:spacing w:after="0" w:line="330"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12</w:t>
      </w:r>
    </w:p>
    <w:p>
      <w:pPr>
        <w:spacing w:after="0" w:line="20" w:lineRule="exact"/>
        <w:rPr>
          <w:sz w:val="20"/>
          <w:szCs w:val="20"/>
          <w:color w:val="auto"/>
        </w:rPr>
      </w:pPr>
      <w:r>
        <w:rPr>
          <w:sz w:val="20"/>
          <w:szCs w:val="20"/>
          <w:color w:val="auto"/>
        </w:rPr>
        <w:br w:type="column"/>
      </w:r>
    </w:p>
    <w:p>
      <w:pPr>
        <w:ind w:left="280"/>
        <w:spacing w:after="0"/>
        <w:rPr>
          <w:sz w:val="20"/>
          <w:szCs w:val="20"/>
          <w:color w:val="auto"/>
        </w:rPr>
      </w:pPr>
      <w:r>
        <w:rPr>
          <w:rFonts w:ascii="Times New Roman" w:cs="Times New Roman" w:eastAsia="Times New Roman" w:hAnsi="Times New Roman"/>
          <w:sz w:val="22"/>
          <w:szCs w:val="22"/>
          <w:color w:val="auto"/>
        </w:rPr>
        <w:t>11,180.00</w:t>
      </w:r>
    </w:p>
    <w:p>
      <w:pPr>
        <w:spacing w:after="0" w:line="45"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Voting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6</w:t>
      </w: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Sole Dispositive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7</w:t>
      </w:r>
    </w:p>
    <w:p>
      <w:pPr>
        <w:ind w:left="280"/>
        <w:spacing w:after="0"/>
        <w:rPr>
          <w:sz w:val="20"/>
          <w:szCs w:val="20"/>
          <w:color w:val="auto"/>
        </w:rPr>
      </w:pPr>
      <w:r>
        <w:rPr>
          <w:rFonts w:ascii="Times New Roman" w:cs="Times New Roman" w:eastAsia="Times New Roman" w:hAnsi="Times New Roman"/>
          <w:sz w:val="22"/>
          <w:szCs w:val="22"/>
          <w:color w:val="auto"/>
        </w:rPr>
        <w:t>11,180.00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Dispositive</w:t>
      </w:r>
    </w:p>
    <w:p>
      <w:pPr>
        <w:ind w:left="40"/>
        <w:spacing w:after="0" w:line="191" w:lineRule="auto"/>
        <w:rPr>
          <w:sz w:val="20"/>
          <w:szCs w:val="20"/>
          <w:color w:val="auto"/>
        </w:rPr>
      </w:pPr>
      <w:r>
        <w:rPr>
          <w:rFonts w:ascii="Times New Roman" w:cs="Times New Roman" w:eastAsia="Times New Roman" w:hAnsi="Times New Roman"/>
          <w:sz w:val="43"/>
          <w:szCs w:val="43"/>
          <w:color w:val="auto"/>
          <w:vertAlign w:val="subscript"/>
        </w:rPr>
        <w:t>8</w:t>
      </w:r>
      <w:r>
        <w:rPr>
          <w:rFonts w:ascii="Times New Roman" w:cs="Times New Roman" w:eastAsia="Times New Roman" w:hAnsi="Times New Roman"/>
          <w:sz w:val="22"/>
          <w:szCs w:val="22"/>
          <w:color w:val="auto"/>
        </w:rPr>
        <w:t xml:space="preserve"> Power</w:t>
      </w:r>
    </w:p>
    <w:p>
      <w:pPr>
        <w:spacing w:after="0" w:line="83"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85"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Aggregate Amount Beneficially Owned by Each Reporting Person</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11,605,313.00</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Check box if the aggregate amount in row (9) excludes certain shares (See Instructions)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5715</wp:posOffset>
            </wp:positionH>
            <wp:positionV relativeFrom="paragraph">
              <wp:posOffset>172720</wp:posOffset>
            </wp:positionV>
            <wp:extent cx="128905" cy="12890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00" w:lineRule="exact"/>
        <w:rPr>
          <w:sz w:val="20"/>
          <w:szCs w:val="20"/>
          <w:color w:val="auto"/>
        </w:rPr>
      </w:pPr>
    </w:p>
    <w:p>
      <w:pPr>
        <w:spacing w:after="0" w:line="28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Percent of class represented by amount in row (9)</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5.1 %</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Type of Reporting Person (See Instructions)</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BD, OO</w:t>
      </w:r>
    </w:p>
    <w:p>
      <w:pPr>
        <w:spacing w:after="0" w:line="200" w:lineRule="exact"/>
        <w:rPr>
          <w:sz w:val="20"/>
          <w:szCs w:val="20"/>
          <w:color w:val="auto"/>
        </w:rPr>
      </w:pPr>
    </w:p>
    <w:p>
      <w:pPr>
        <w:sectPr>
          <w:pgSz w:w="11900" w:h="16838" w:orient="portrait"/>
          <w:cols w:equalWidth="0" w:num="2">
            <w:col w:w="1100" w:space="60"/>
            <w:col w:w="10060"/>
          </w:cols>
          <w:pgMar w:left="320" w:top="111" w:right="359" w:bottom="0" w:gutter="0" w:footer="0" w:header="0"/>
        </w:sectPr>
      </w:pPr>
    </w:p>
    <w:p>
      <w:pPr>
        <w:spacing w:after="0" w:line="70" w:lineRule="exact"/>
        <w:rPr>
          <w:sz w:val="20"/>
          <w:szCs w:val="20"/>
          <w:color w:val="auto"/>
        </w:rPr>
      </w:pPr>
    </w:p>
    <w:p>
      <w:pPr>
        <w:spacing w:after="0" w:line="237" w:lineRule="auto"/>
        <w:rPr>
          <w:sz w:val="20"/>
          <w:szCs w:val="20"/>
          <w:color w:val="auto"/>
        </w:rPr>
      </w:pPr>
      <w:r>
        <w:rPr>
          <w:rFonts w:ascii="Times New Roman" w:cs="Times New Roman" w:eastAsia="Times New Roman" w:hAnsi="Times New Roman"/>
          <w:sz w:val="22"/>
          <w:szCs w:val="22"/>
          <w:b w:val="1"/>
          <w:bCs w:val="1"/>
          <w:color w:val="auto"/>
        </w:rPr>
        <w:t xml:space="preserve">Comment for Type of Reporting Person: </w:t>
      </w:r>
      <w:r>
        <w:rPr>
          <w:rFonts w:ascii="Times New Roman" w:cs="Times New Roman" w:eastAsia="Times New Roman" w:hAnsi="Times New Roman"/>
          <w:sz w:val="22"/>
          <w:szCs w:val="22"/>
          <w:color w:val="auto"/>
        </w:rPr>
        <w:t>With respect to Row 5 through Row 9 above, G1 Execution Services, LLC, SIG</w:t>
      </w:r>
      <w:r>
        <w:rPr>
          <w:rFonts w:ascii="Times New Roman" w:cs="Times New Roman" w:eastAsia="Times New Roman" w:hAnsi="Times New Roman"/>
          <w:sz w:val="22"/>
          <w:szCs w:val="22"/>
          <w:b w:val="1"/>
          <w:bCs w:val="1"/>
          <w:color w:val="auto"/>
        </w:rPr>
        <w:t xml:space="preserve"> </w:t>
      </w:r>
      <w:r>
        <w:rPr>
          <w:rFonts w:ascii="Times New Roman" w:cs="Times New Roman" w:eastAsia="Times New Roman" w:hAnsi="Times New Roman"/>
          <w:sz w:val="22"/>
          <w:szCs w:val="22"/>
          <w:color w:val="auto"/>
        </w:rPr>
        <w:t>Brokerage, LP, Susquehanna Investment Group and Susquehanna Securities, LLC are affiliated independent broker-dealers which may be deemed a group. For purposes of this report, we have indicated that each reporting person has sole voting and dispositive power with respect to the shares beneficially owned by it and that the reporting persons have shared voting and dispositive power with respect to all shares beneficially owned by all of the reporting persons. Each of the reporting persons disclaims beneficial ownership of shares owned directly by another reporting person.</w:t>
      </w: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60"/>
        <w:spacing w:after="0"/>
        <w:rPr>
          <w:sz w:val="20"/>
          <w:szCs w:val="20"/>
          <w:color w:val="auto"/>
        </w:rPr>
      </w:pPr>
      <w:r>
        <w:rPr>
          <w:rFonts w:ascii="Times New Roman" w:cs="Times New Roman" w:eastAsia="Times New Roman" w:hAnsi="Times New Roman"/>
          <w:sz w:val="26"/>
          <w:szCs w:val="26"/>
          <w:color w:val="auto"/>
        </w:rPr>
        <w:t>SCHEDULE 13G</w:t>
      </w:r>
    </w:p>
    <w:p>
      <w:pPr>
        <w:spacing w:after="0" w:line="29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b w:val="1"/>
          <w:bCs w:val="1"/>
          <w:color w:val="auto"/>
        </w:rPr>
        <w:t xml:space="preserve">CUSIP No. </w:t>
      </w:r>
      <w:r>
        <w:rPr>
          <w:rFonts w:ascii="Times New Roman" w:cs="Times New Roman" w:eastAsia="Times New Roman" w:hAnsi="Times New Roman"/>
          <w:sz w:val="19"/>
          <w:szCs w:val="19"/>
          <w:color w:val="auto"/>
        </w:rPr>
        <w:t>594972408</w:t>
      </w:r>
    </w:p>
    <w:p>
      <w:pPr>
        <w:spacing w:after="0" w:line="200" w:lineRule="exact"/>
        <w:rPr>
          <w:sz w:val="20"/>
          <w:szCs w:val="20"/>
          <w:color w:val="auto"/>
        </w:rPr>
      </w:pPr>
    </w:p>
    <w:p>
      <w:pPr>
        <w:spacing w:after="0" w:line="361"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Names of Reporting Persons</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w:t>
      </w:r>
    </w:p>
    <w:p>
      <w:pPr>
        <w:ind w:left="1160"/>
        <w:spacing w:after="0"/>
        <w:rPr>
          <w:sz w:val="20"/>
          <w:szCs w:val="20"/>
          <w:color w:val="auto"/>
        </w:rPr>
      </w:pPr>
      <w:r>
        <w:rPr>
          <w:rFonts w:ascii="Times New Roman" w:cs="Times New Roman" w:eastAsia="Times New Roman" w:hAnsi="Times New Roman"/>
          <w:sz w:val="22"/>
          <w:szCs w:val="22"/>
          <w:color w:val="auto"/>
        </w:rPr>
        <w:t>SIG Brokerage, LP</w:t>
      </w:r>
    </w:p>
    <w:p>
      <w:pPr>
        <w:spacing w:after="0" w:line="20"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Check the appropriate box if a member of a Group (see instructions)</w:t>
      </w:r>
    </w:p>
    <w:p>
      <w:pPr>
        <w:spacing w:after="0" w:line="33" w:lineRule="exact"/>
        <w:rPr>
          <w:sz w:val="20"/>
          <w:szCs w:val="20"/>
          <w:color w:val="auto"/>
        </w:rPr>
      </w:pPr>
    </w:p>
    <w:p>
      <w:pPr>
        <w:ind w:left="1160" w:hanging="1112"/>
        <w:spacing w:after="0"/>
        <w:tabs>
          <w:tab w:leader="none" w:pos="1160" w:val="left"/>
        </w:tabs>
        <w:numPr>
          <w:ilvl w:val="0"/>
          <w:numId w:val="3"/>
        </w:numPr>
        <w:rPr>
          <w:rFonts w:ascii="Times New Roman" w:cs="Times New Roman" w:eastAsia="Times New Roman" w:hAnsi="Times New Roman"/>
          <w:sz w:val="43"/>
          <w:szCs w:val="43"/>
          <w:color w:val="auto"/>
          <w:vertAlign w:val="superscript"/>
        </w:rPr>
      </w:pPr>
      <w:r>
        <w:rPr>
          <w:sz w:val="1"/>
          <w:szCs w:val="1"/>
          <w:color w:val="auto"/>
        </w:rPr>
        <w:drawing>
          <wp:inline distT="0" distB="0" distL="0" distR="0">
            <wp:extent cx="128905" cy="1289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w:t>
      </w:r>
    </w:p>
    <w:p>
      <w:pPr>
        <w:ind w:left="1160"/>
        <w:spacing w:after="0"/>
        <w:rPr>
          <w:rFonts w:ascii="Times New Roman" w:cs="Times New Roman" w:eastAsia="Times New Roman" w:hAnsi="Times New Roman"/>
          <w:sz w:val="43"/>
          <w:szCs w:val="43"/>
          <w:color w:val="auto"/>
          <w:vertAlign w:val="superscript"/>
        </w:rPr>
      </w:pPr>
      <w:r>
        <w:rPr>
          <w:rFonts w:ascii="Times New Roman" w:cs="Times New Roman" w:eastAsia="Times New Roman" w:hAnsi="Times New Roman"/>
          <w:sz w:val="1"/>
          <w:szCs w:val="1"/>
          <w:color w:val="auto"/>
          <w:vertAlign w:val="superscript"/>
        </w:rPr>
        <w:drawing>
          <wp:inline distT="0" distB="0" distL="0" distR="0">
            <wp:extent cx="128905" cy="128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w:t>
      </w:r>
    </w:p>
    <w:p>
      <w:pPr>
        <w:spacing w:after="0" w:line="30" w:lineRule="exact"/>
        <w:rPr>
          <w:sz w:val="20"/>
          <w:szCs w:val="20"/>
          <w:color w:val="auto"/>
        </w:rPr>
      </w:pPr>
    </w:p>
    <w:p>
      <w:pPr>
        <w:ind w:left="1160" w:hanging="1112"/>
        <w:spacing w:after="0"/>
        <w:tabs>
          <w:tab w:leader="none" w:pos="1160" w:val="left"/>
        </w:tabs>
        <w:numPr>
          <w:ilvl w:val="0"/>
          <w:numId w:val="4"/>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Sec Use Only</w:t>
      </w:r>
    </w:p>
    <w:p>
      <w:pPr>
        <w:spacing w:after="0" w:line="44"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Citizenship or Place of Organization</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4</w:t>
      </w:r>
    </w:p>
    <w:p>
      <w:pPr>
        <w:ind w:left="1160"/>
        <w:spacing w:after="0"/>
        <w:rPr>
          <w:sz w:val="20"/>
          <w:szCs w:val="20"/>
          <w:color w:val="auto"/>
        </w:rPr>
      </w:pPr>
      <w:r>
        <w:rPr>
          <w:rFonts w:ascii="Times New Roman" w:cs="Times New Roman" w:eastAsia="Times New Roman" w:hAnsi="Times New Roman"/>
          <w:sz w:val="22"/>
          <w:szCs w:val="22"/>
          <w:color w:val="auto"/>
        </w:rPr>
        <w:t>DELAWARE</w:t>
      </w:r>
    </w:p>
    <w:p>
      <w:pPr>
        <w:spacing w:after="0" w:line="61"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1120" w:type="dxa"/>
            <w:vAlign w:val="bottom"/>
          </w:tcPr>
          <w:p>
            <w:pPr>
              <w:spacing w:after="0"/>
              <w:rPr>
                <w:sz w:val="24"/>
                <w:szCs w:val="24"/>
                <w:color w:val="auto"/>
              </w:rPr>
            </w:pPr>
          </w:p>
        </w:tc>
        <w:tc>
          <w:tcPr>
            <w:tcW w:w="22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5</w:t>
            </w:r>
          </w:p>
        </w:tc>
        <w:tc>
          <w:tcPr>
            <w:tcW w:w="2080" w:type="dxa"/>
            <w:vAlign w:val="bottom"/>
          </w:tcPr>
          <w:p>
            <w:pPr>
              <w:ind w:left="60"/>
              <w:spacing w:after="0"/>
              <w:rPr>
                <w:sz w:val="20"/>
                <w:szCs w:val="20"/>
                <w:color w:val="auto"/>
              </w:rPr>
            </w:pPr>
            <w:r>
              <w:rPr>
                <w:rFonts w:ascii="Times New Roman" w:cs="Times New Roman" w:eastAsia="Times New Roman" w:hAnsi="Times New Roman"/>
                <w:sz w:val="22"/>
                <w:szCs w:val="22"/>
                <w:color w:val="auto"/>
              </w:rPr>
              <w:t>Sole Voting Power</w:t>
            </w:r>
          </w:p>
        </w:tc>
        <w:tc>
          <w:tcPr>
            <w:tcW w:w="0" w:type="dxa"/>
            <w:vAlign w:val="bottom"/>
          </w:tcPr>
          <w:p>
            <w:pPr>
              <w:spacing w:after="0"/>
              <w:rPr>
                <w:sz w:val="1"/>
                <w:szCs w:val="1"/>
                <w:color w:val="auto"/>
              </w:rPr>
            </w:pPr>
          </w:p>
        </w:tc>
      </w:tr>
      <w:tr>
        <w:trPr>
          <w:trHeight w:val="243"/>
        </w:trPr>
        <w:tc>
          <w:tcPr>
            <w:tcW w:w="1120" w:type="dxa"/>
            <w:vAlign w:val="bottom"/>
          </w:tcPr>
          <w:p>
            <w:pPr>
              <w:spacing w:after="0"/>
              <w:rPr>
                <w:sz w:val="21"/>
                <w:szCs w:val="21"/>
                <w:color w:val="auto"/>
              </w:rPr>
            </w:pPr>
          </w:p>
        </w:tc>
        <w:tc>
          <w:tcPr>
            <w:tcW w:w="220" w:type="dxa"/>
            <w:vAlign w:val="bottom"/>
            <w:vMerge w:val="continue"/>
          </w:tcPr>
          <w:p>
            <w:pPr>
              <w:spacing w:after="0"/>
              <w:rPr>
                <w:sz w:val="21"/>
                <w:szCs w:val="21"/>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rPr>
              <w:t>3,200.00</w:t>
            </w:r>
          </w:p>
        </w:tc>
        <w:tc>
          <w:tcPr>
            <w:tcW w:w="0" w:type="dxa"/>
            <w:vAlign w:val="bottom"/>
          </w:tcPr>
          <w:p>
            <w:pPr>
              <w:spacing w:after="0"/>
              <w:rPr>
                <w:sz w:val="1"/>
                <w:szCs w:val="1"/>
                <w:color w:val="auto"/>
              </w:rPr>
            </w:pPr>
          </w:p>
        </w:tc>
      </w:tr>
      <w:tr>
        <w:trPr>
          <w:trHeight w:val="243"/>
        </w:trPr>
        <w:tc>
          <w:tcPr>
            <w:tcW w:w="11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Number of</w:t>
            </w:r>
          </w:p>
        </w:tc>
        <w:tc>
          <w:tcPr>
            <w:tcW w:w="220" w:type="dxa"/>
            <w:vAlign w:val="bottom"/>
          </w:tcPr>
          <w:p>
            <w:pPr>
              <w:spacing w:after="0"/>
              <w:rPr>
                <w:sz w:val="21"/>
                <w:szCs w:val="21"/>
                <w:color w:val="auto"/>
              </w:rPr>
            </w:pPr>
          </w:p>
        </w:tc>
        <w:tc>
          <w:tcPr>
            <w:tcW w:w="2080" w:type="dxa"/>
            <w:vAlign w:val="bottom"/>
            <w:vMerge w:val="continue"/>
          </w:tcPr>
          <w:p>
            <w:pPr>
              <w:spacing w:after="0"/>
              <w:rPr>
                <w:sz w:val="21"/>
                <w:szCs w:val="21"/>
                <w:color w:val="auto"/>
              </w:rPr>
            </w:pPr>
          </w:p>
        </w:tc>
        <w:tc>
          <w:tcPr>
            <w:tcW w:w="0" w:type="dxa"/>
            <w:vAlign w:val="bottom"/>
          </w:tcPr>
          <w:p>
            <w:pPr>
              <w:spacing w:after="0"/>
              <w:rPr>
                <w:sz w:val="1"/>
                <w:szCs w:val="1"/>
                <w:color w:val="auto"/>
              </w:rPr>
            </w:pPr>
          </w:p>
        </w:tc>
      </w:tr>
      <w:tr>
        <w:trPr>
          <w:trHeight w:val="163"/>
        </w:trPr>
        <w:tc>
          <w:tcPr>
            <w:tcW w:w="1120" w:type="dxa"/>
            <w:vAlign w:val="bottom"/>
            <w:vMerge w:val="continue"/>
          </w:tcPr>
          <w:p>
            <w:pPr>
              <w:spacing w:after="0"/>
              <w:rPr>
                <w:sz w:val="14"/>
                <w:szCs w:val="14"/>
                <w:color w:val="auto"/>
              </w:rPr>
            </w:pPr>
          </w:p>
        </w:tc>
        <w:tc>
          <w:tcPr>
            <w:tcW w:w="220" w:type="dxa"/>
            <w:vAlign w:val="bottom"/>
          </w:tcPr>
          <w:p>
            <w:pPr>
              <w:spacing w:after="0"/>
              <w:rPr>
                <w:sz w:val="14"/>
                <w:szCs w:val="14"/>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rPr>
              <w:t>Shared Voting Power</w:t>
            </w:r>
          </w:p>
        </w:tc>
        <w:tc>
          <w:tcPr>
            <w:tcW w:w="0" w:type="dxa"/>
            <w:vAlign w:val="bottom"/>
          </w:tcPr>
          <w:p>
            <w:pPr>
              <w:spacing w:after="0"/>
              <w:rPr>
                <w:sz w:val="1"/>
                <w:szCs w:val="1"/>
                <w:color w:val="auto"/>
              </w:rPr>
            </w:pPr>
          </w:p>
        </w:tc>
      </w:tr>
      <w:tr>
        <w:trPr>
          <w:trHeight w:val="134"/>
        </w:trPr>
        <w:tc>
          <w:tcPr>
            <w:tcW w:w="1120" w:type="dxa"/>
            <w:vAlign w:val="bottom"/>
            <w:vMerge w:val="restart"/>
          </w:tcPr>
          <w:p>
            <w:pPr>
              <w:spacing w:after="0" w:line="243" w:lineRule="exact"/>
              <w:rPr>
                <w:sz w:val="20"/>
                <w:szCs w:val="20"/>
                <w:color w:val="auto"/>
              </w:rPr>
            </w:pPr>
            <w:r>
              <w:rPr>
                <w:rFonts w:ascii="Times New Roman" w:cs="Times New Roman" w:eastAsia="Times New Roman" w:hAnsi="Times New Roman"/>
                <w:sz w:val="22"/>
                <w:szCs w:val="22"/>
                <w:color w:val="auto"/>
              </w:rPr>
              <w:t>Shares</w:t>
            </w:r>
          </w:p>
        </w:tc>
        <w:tc>
          <w:tcPr>
            <w:tcW w:w="22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6</w:t>
            </w:r>
          </w:p>
        </w:tc>
        <w:tc>
          <w:tcPr>
            <w:tcW w:w="2080" w:type="dxa"/>
            <w:vAlign w:val="bottom"/>
            <w:vMerge w:val="continue"/>
          </w:tcPr>
          <w:p>
            <w:pPr>
              <w:spacing w:after="0"/>
              <w:rPr>
                <w:sz w:val="11"/>
                <w:szCs w:val="11"/>
                <w:color w:val="auto"/>
              </w:rPr>
            </w:pPr>
          </w:p>
        </w:tc>
        <w:tc>
          <w:tcPr>
            <w:tcW w:w="0" w:type="dxa"/>
            <w:vAlign w:val="bottom"/>
          </w:tcPr>
          <w:p>
            <w:pPr>
              <w:spacing w:after="0"/>
              <w:rPr>
                <w:sz w:val="1"/>
                <w:szCs w:val="1"/>
                <w:color w:val="auto"/>
              </w:rPr>
            </w:pPr>
          </w:p>
        </w:tc>
      </w:tr>
      <w:tr>
        <w:trPr>
          <w:trHeight w:val="109"/>
        </w:trPr>
        <w:tc>
          <w:tcPr>
            <w:tcW w:w="1120" w:type="dxa"/>
            <w:vAlign w:val="bottom"/>
            <w:vMerge w:val="continue"/>
          </w:tcPr>
          <w:p>
            <w:pPr>
              <w:spacing w:after="0"/>
              <w:rPr>
                <w:sz w:val="9"/>
                <w:szCs w:val="9"/>
                <w:color w:val="auto"/>
              </w:rPr>
            </w:pPr>
          </w:p>
        </w:tc>
        <w:tc>
          <w:tcPr>
            <w:tcW w:w="220" w:type="dxa"/>
            <w:vAlign w:val="bottom"/>
            <w:vMerge w:val="continue"/>
          </w:tcPr>
          <w:p>
            <w:pPr>
              <w:spacing w:after="0"/>
              <w:rPr>
                <w:sz w:val="9"/>
                <w:szCs w:val="9"/>
                <w:color w:val="auto"/>
              </w:rPr>
            </w:pPr>
          </w:p>
        </w:tc>
        <w:tc>
          <w:tcPr>
            <w:tcW w:w="208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243"/>
        </w:trPr>
        <w:tc>
          <w:tcPr>
            <w:tcW w:w="112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Beneficially</w:t>
            </w:r>
          </w:p>
        </w:tc>
        <w:tc>
          <w:tcPr>
            <w:tcW w:w="220" w:type="dxa"/>
            <w:vAlign w:val="bottom"/>
            <w:vMerge w:val="continue"/>
          </w:tcPr>
          <w:p>
            <w:pPr>
              <w:spacing w:after="0"/>
              <w:rPr>
                <w:sz w:val="21"/>
                <w:szCs w:val="21"/>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rPr>
              <w:t>11,605,313.00</w:t>
            </w:r>
          </w:p>
        </w:tc>
        <w:tc>
          <w:tcPr>
            <w:tcW w:w="0" w:type="dxa"/>
            <w:vAlign w:val="bottom"/>
          </w:tcPr>
          <w:p>
            <w:pPr>
              <w:spacing w:after="0"/>
              <w:rPr>
                <w:sz w:val="1"/>
                <w:szCs w:val="1"/>
                <w:color w:val="auto"/>
              </w:rPr>
            </w:pPr>
          </w:p>
        </w:tc>
      </w:tr>
      <w:tr>
        <w:trPr>
          <w:trHeight w:val="134"/>
        </w:trPr>
        <w:tc>
          <w:tcPr>
            <w:tcW w:w="1120" w:type="dxa"/>
            <w:vAlign w:val="bottom"/>
            <w:vMerge w:val="restart"/>
          </w:tcPr>
          <w:p>
            <w:pPr>
              <w:spacing w:after="0" w:line="243" w:lineRule="exact"/>
              <w:rPr>
                <w:sz w:val="20"/>
                <w:szCs w:val="20"/>
                <w:color w:val="auto"/>
              </w:rPr>
            </w:pPr>
            <w:r>
              <w:rPr>
                <w:rFonts w:ascii="Times New Roman" w:cs="Times New Roman" w:eastAsia="Times New Roman" w:hAnsi="Times New Roman"/>
                <w:sz w:val="22"/>
                <w:szCs w:val="22"/>
                <w:color w:val="auto"/>
              </w:rPr>
              <w:t>Owned by</w:t>
            </w:r>
          </w:p>
        </w:tc>
        <w:tc>
          <w:tcPr>
            <w:tcW w:w="220" w:type="dxa"/>
            <w:vAlign w:val="bottom"/>
          </w:tcPr>
          <w:p>
            <w:pPr>
              <w:spacing w:after="0"/>
              <w:rPr>
                <w:sz w:val="11"/>
                <w:szCs w:val="11"/>
                <w:color w:val="auto"/>
              </w:rPr>
            </w:pPr>
          </w:p>
        </w:tc>
        <w:tc>
          <w:tcPr>
            <w:tcW w:w="2080" w:type="dxa"/>
            <w:vAlign w:val="bottom"/>
            <w:vMerge w:val="continue"/>
          </w:tcPr>
          <w:p>
            <w:pPr>
              <w:spacing w:after="0"/>
              <w:rPr>
                <w:sz w:val="11"/>
                <w:szCs w:val="11"/>
                <w:color w:val="auto"/>
              </w:rPr>
            </w:pPr>
          </w:p>
        </w:tc>
        <w:tc>
          <w:tcPr>
            <w:tcW w:w="0" w:type="dxa"/>
            <w:vAlign w:val="bottom"/>
          </w:tcPr>
          <w:p>
            <w:pPr>
              <w:spacing w:after="0"/>
              <w:rPr>
                <w:sz w:val="1"/>
                <w:szCs w:val="1"/>
                <w:color w:val="auto"/>
              </w:rPr>
            </w:pPr>
          </w:p>
        </w:tc>
      </w:tr>
      <w:tr>
        <w:trPr>
          <w:trHeight w:val="109"/>
        </w:trPr>
        <w:tc>
          <w:tcPr>
            <w:tcW w:w="1120" w:type="dxa"/>
            <w:vAlign w:val="bottom"/>
            <w:vMerge w:val="continue"/>
          </w:tcPr>
          <w:p>
            <w:pPr>
              <w:spacing w:after="0"/>
              <w:rPr>
                <w:sz w:val="9"/>
                <w:szCs w:val="9"/>
                <w:color w:val="auto"/>
              </w:rPr>
            </w:pPr>
          </w:p>
        </w:tc>
        <w:tc>
          <w:tcPr>
            <w:tcW w:w="220" w:type="dxa"/>
            <w:vAlign w:val="bottom"/>
          </w:tcPr>
          <w:p>
            <w:pPr>
              <w:spacing w:after="0"/>
              <w:rPr>
                <w:sz w:val="9"/>
                <w:szCs w:val="9"/>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w w:val="96"/>
              </w:rPr>
              <w:t>Sole Dispositive Power</w:t>
            </w:r>
          </w:p>
        </w:tc>
        <w:tc>
          <w:tcPr>
            <w:tcW w:w="0" w:type="dxa"/>
            <w:vAlign w:val="bottom"/>
          </w:tcPr>
          <w:p>
            <w:pPr>
              <w:spacing w:after="0"/>
              <w:rPr>
                <w:sz w:val="1"/>
                <w:szCs w:val="1"/>
                <w:color w:val="auto"/>
              </w:rPr>
            </w:pPr>
          </w:p>
        </w:tc>
      </w:tr>
      <w:tr>
        <w:trPr>
          <w:trHeight w:val="188"/>
        </w:trPr>
        <w:tc>
          <w:tcPr>
            <w:tcW w:w="1120" w:type="dxa"/>
            <w:vAlign w:val="bottom"/>
            <w:vMerge w:val="restart"/>
          </w:tcPr>
          <w:p>
            <w:pPr>
              <w:spacing w:after="0" w:line="243" w:lineRule="exact"/>
              <w:rPr>
                <w:sz w:val="20"/>
                <w:szCs w:val="20"/>
                <w:color w:val="auto"/>
              </w:rPr>
            </w:pPr>
            <w:r>
              <w:rPr>
                <w:rFonts w:ascii="Times New Roman" w:cs="Times New Roman" w:eastAsia="Times New Roman" w:hAnsi="Times New Roman"/>
                <w:sz w:val="22"/>
                <w:szCs w:val="22"/>
                <w:color w:val="auto"/>
              </w:rPr>
              <w:t>Each</w:t>
            </w:r>
          </w:p>
        </w:tc>
        <w:tc>
          <w:tcPr>
            <w:tcW w:w="22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7</w:t>
            </w:r>
          </w:p>
        </w:tc>
        <w:tc>
          <w:tcPr>
            <w:tcW w:w="2080" w:type="dxa"/>
            <w:vAlign w:val="bottom"/>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55"/>
        </w:trPr>
        <w:tc>
          <w:tcPr>
            <w:tcW w:w="1120" w:type="dxa"/>
            <w:vAlign w:val="bottom"/>
            <w:vMerge w:val="continue"/>
          </w:tcPr>
          <w:p>
            <w:pPr>
              <w:spacing w:after="0"/>
              <w:rPr>
                <w:sz w:val="4"/>
                <w:szCs w:val="4"/>
                <w:color w:val="auto"/>
              </w:rPr>
            </w:pPr>
          </w:p>
        </w:tc>
        <w:tc>
          <w:tcPr>
            <w:tcW w:w="220" w:type="dxa"/>
            <w:vAlign w:val="bottom"/>
            <w:vMerge w:val="continue"/>
          </w:tcPr>
          <w:p>
            <w:pPr>
              <w:spacing w:after="0"/>
              <w:rPr>
                <w:sz w:val="4"/>
                <w:szCs w:val="4"/>
                <w:color w:val="auto"/>
              </w:rPr>
            </w:pPr>
          </w:p>
        </w:tc>
        <w:tc>
          <w:tcPr>
            <w:tcW w:w="208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188"/>
        </w:trPr>
        <w:tc>
          <w:tcPr>
            <w:tcW w:w="1120" w:type="dxa"/>
            <w:vAlign w:val="bottom"/>
            <w:vMerge w:val="restart"/>
          </w:tcPr>
          <w:p>
            <w:pPr>
              <w:spacing w:after="0" w:line="243" w:lineRule="exact"/>
              <w:rPr>
                <w:sz w:val="20"/>
                <w:szCs w:val="20"/>
                <w:color w:val="auto"/>
              </w:rPr>
            </w:pPr>
            <w:r>
              <w:rPr>
                <w:rFonts w:ascii="Times New Roman" w:cs="Times New Roman" w:eastAsia="Times New Roman" w:hAnsi="Times New Roman"/>
                <w:sz w:val="22"/>
                <w:szCs w:val="22"/>
                <w:color w:val="auto"/>
              </w:rPr>
              <w:t>Reporting</w:t>
            </w:r>
          </w:p>
        </w:tc>
        <w:tc>
          <w:tcPr>
            <w:tcW w:w="220" w:type="dxa"/>
            <w:vAlign w:val="bottom"/>
            <w:vMerge w:val="continue"/>
          </w:tcPr>
          <w:p>
            <w:pPr>
              <w:spacing w:after="0"/>
              <w:rPr>
                <w:sz w:val="16"/>
                <w:szCs w:val="16"/>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rPr>
              <w:t>3,200.00</w:t>
            </w:r>
          </w:p>
        </w:tc>
        <w:tc>
          <w:tcPr>
            <w:tcW w:w="0" w:type="dxa"/>
            <w:vAlign w:val="bottom"/>
          </w:tcPr>
          <w:p>
            <w:pPr>
              <w:spacing w:after="0"/>
              <w:rPr>
                <w:sz w:val="1"/>
                <w:szCs w:val="1"/>
                <w:color w:val="auto"/>
              </w:rPr>
            </w:pPr>
          </w:p>
        </w:tc>
      </w:tr>
      <w:tr>
        <w:trPr>
          <w:trHeight w:val="55"/>
        </w:trPr>
        <w:tc>
          <w:tcPr>
            <w:tcW w:w="1120" w:type="dxa"/>
            <w:vAlign w:val="bottom"/>
            <w:vMerge w:val="continue"/>
          </w:tcPr>
          <w:p>
            <w:pPr>
              <w:spacing w:after="0"/>
              <w:rPr>
                <w:sz w:val="4"/>
                <w:szCs w:val="4"/>
                <w:color w:val="auto"/>
              </w:rPr>
            </w:pPr>
          </w:p>
        </w:tc>
        <w:tc>
          <w:tcPr>
            <w:tcW w:w="220" w:type="dxa"/>
            <w:vAlign w:val="bottom"/>
          </w:tcPr>
          <w:p>
            <w:pPr>
              <w:spacing w:after="0"/>
              <w:rPr>
                <w:sz w:val="4"/>
                <w:szCs w:val="4"/>
                <w:color w:val="auto"/>
              </w:rPr>
            </w:pPr>
          </w:p>
        </w:tc>
        <w:tc>
          <w:tcPr>
            <w:tcW w:w="2080" w:type="dxa"/>
            <w:vAlign w:val="bottom"/>
            <w:vMerge w:val="continue"/>
          </w:tcPr>
          <w:p>
            <w:pPr>
              <w:spacing w:after="0"/>
              <w:rPr>
                <w:sz w:val="4"/>
                <w:szCs w:val="4"/>
                <w:color w:val="auto"/>
              </w:rPr>
            </w:pPr>
          </w:p>
        </w:tc>
        <w:tc>
          <w:tcPr>
            <w:tcW w:w="0" w:type="dxa"/>
            <w:vAlign w:val="bottom"/>
          </w:tcPr>
          <w:p>
            <w:pPr>
              <w:spacing w:after="0"/>
              <w:rPr>
                <w:sz w:val="1"/>
                <w:szCs w:val="1"/>
                <w:color w:val="auto"/>
              </w:rPr>
            </w:pPr>
          </w:p>
        </w:tc>
      </w:tr>
      <w:tr>
        <w:trPr>
          <w:trHeight w:val="188"/>
        </w:trPr>
        <w:tc>
          <w:tcPr>
            <w:tcW w:w="1120" w:type="dxa"/>
            <w:vAlign w:val="bottom"/>
            <w:vMerge w:val="restart"/>
          </w:tcPr>
          <w:p>
            <w:pPr>
              <w:spacing w:after="0" w:line="243" w:lineRule="exact"/>
              <w:rPr>
                <w:sz w:val="20"/>
                <w:szCs w:val="20"/>
                <w:color w:val="auto"/>
              </w:rPr>
            </w:pPr>
            <w:r>
              <w:rPr>
                <w:rFonts w:ascii="Times New Roman" w:cs="Times New Roman" w:eastAsia="Times New Roman" w:hAnsi="Times New Roman"/>
                <w:sz w:val="22"/>
                <w:szCs w:val="22"/>
                <w:color w:val="auto"/>
              </w:rPr>
              <w:t>Person</w:t>
            </w:r>
          </w:p>
        </w:tc>
        <w:tc>
          <w:tcPr>
            <w:tcW w:w="220" w:type="dxa"/>
            <w:vAlign w:val="bottom"/>
          </w:tcPr>
          <w:p>
            <w:pPr>
              <w:spacing w:after="0"/>
              <w:rPr>
                <w:sz w:val="16"/>
                <w:szCs w:val="16"/>
                <w:color w:val="auto"/>
              </w:rPr>
            </w:pPr>
          </w:p>
        </w:tc>
        <w:tc>
          <w:tcPr>
            <w:tcW w:w="2080" w:type="dxa"/>
            <w:vAlign w:val="bottom"/>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55"/>
        </w:trPr>
        <w:tc>
          <w:tcPr>
            <w:tcW w:w="1120" w:type="dxa"/>
            <w:vAlign w:val="bottom"/>
            <w:vMerge w:val="continue"/>
          </w:tcPr>
          <w:p>
            <w:pPr>
              <w:spacing w:after="0"/>
              <w:rPr>
                <w:sz w:val="4"/>
                <w:szCs w:val="4"/>
                <w:color w:val="auto"/>
              </w:rPr>
            </w:pPr>
          </w:p>
        </w:tc>
        <w:tc>
          <w:tcPr>
            <w:tcW w:w="220" w:type="dxa"/>
            <w:vAlign w:val="bottom"/>
          </w:tcPr>
          <w:p>
            <w:pPr>
              <w:spacing w:after="0"/>
              <w:rPr>
                <w:sz w:val="4"/>
                <w:szCs w:val="4"/>
                <w:color w:val="auto"/>
              </w:rPr>
            </w:pPr>
          </w:p>
        </w:tc>
        <w:tc>
          <w:tcPr>
            <w:tcW w:w="2080" w:type="dxa"/>
            <w:vAlign w:val="bottom"/>
            <w:vMerge w:val="restart"/>
          </w:tcPr>
          <w:p>
            <w:pPr>
              <w:ind w:left="60"/>
              <w:spacing w:after="0"/>
              <w:rPr>
                <w:sz w:val="20"/>
                <w:szCs w:val="20"/>
                <w:color w:val="auto"/>
              </w:rPr>
            </w:pPr>
            <w:r>
              <w:rPr>
                <w:rFonts w:ascii="Times New Roman" w:cs="Times New Roman" w:eastAsia="Times New Roman" w:hAnsi="Times New Roman"/>
                <w:sz w:val="22"/>
                <w:szCs w:val="22"/>
                <w:color w:val="auto"/>
              </w:rPr>
              <w:t>Shared Dispositive</w:t>
            </w:r>
          </w:p>
        </w:tc>
        <w:tc>
          <w:tcPr>
            <w:tcW w:w="0" w:type="dxa"/>
            <w:vAlign w:val="bottom"/>
          </w:tcPr>
          <w:p>
            <w:pPr>
              <w:spacing w:after="0"/>
              <w:rPr>
                <w:sz w:val="1"/>
                <w:szCs w:val="1"/>
                <w:color w:val="auto"/>
              </w:rPr>
            </w:pPr>
          </w:p>
        </w:tc>
      </w:tr>
      <w:tr>
        <w:trPr>
          <w:trHeight w:val="216"/>
        </w:trPr>
        <w:tc>
          <w:tcPr>
            <w:tcW w:w="1120" w:type="dxa"/>
            <w:vAlign w:val="bottom"/>
          </w:tcPr>
          <w:p>
            <w:pPr>
              <w:spacing w:after="0" w:line="217" w:lineRule="exact"/>
              <w:rPr>
                <w:sz w:val="20"/>
                <w:szCs w:val="20"/>
                <w:color w:val="auto"/>
              </w:rPr>
            </w:pPr>
            <w:r>
              <w:rPr>
                <w:rFonts w:ascii="Times New Roman" w:cs="Times New Roman" w:eastAsia="Times New Roman" w:hAnsi="Times New Roman"/>
                <w:sz w:val="22"/>
                <w:szCs w:val="22"/>
                <w:color w:val="auto"/>
              </w:rPr>
              <w:t>With:</w:t>
            </w:r>
          </w:p>
        </w:tc>
        <w:tc>
          <w:tcPr>
            <w:tcW w:w="220" w:type="dxa"/>
            <w:vAlign w:val="bottom"/>
          </w:tcPr>
          <w:p>
            <w:pPr>
              <w:spacing w:after="0"/>
              <w:rPr>
                <w:sz w:val="18"/>
                <w:szCs w:val="18"/>
                <w:color w:val="auto"/>
              </w:rPr>
            </w:pPr>
          </w:p>
        </w:tc>
        <w:tc>
          <w:tcPr>
            <w:tcW w:w="2080" w:type="dxa"/>
            <w:vAlign w:val="bottom"/>
            <w:vMerge w:val="continue"/>
          </w:tcPr>
          <w:p>
            <w:pPr>
              <w:spacing w:after="0"/>
              <w:rPr>
                <w:sz w:val="18"/>
                <w:szCs w:val="18"/>
                <w:color w:val="auto"/>
              </w:rPr>
            </w:pPr>
          </w:p>
        </w:tc>
        <w:tc>
          <w:tcPr>
            <w:tcW w:w="0" w:type="dxa"/>
            <w:vAlign w:val="bottom"/>
          </w:tcPr>
          <w:p>
            <w:pPr>
              <w:spacing w:after="0"/>
              <w:rPr>
                <w:sz w:val="1"/>
                <w:szCs w:val="1"/>
                <w:color w:val="auto"/>
              </w:rPr>
            </w:pPr>
          </w:p>
        </w:tc>
      </w:tr>
      <w:tr>
        <w:trPr>
          <w:trHeight w:val="390"/>
        </w:trPr>
        <w:tc>
          <w:tcPr>
            <w:tcW w:w="1120" w:type="dxa"/>
            <w:vAlign w:val="bottom"/>
          </w:tcPr>
          <w:p>
            <w:pPr>
              <w:spacing w:after="0"/>
              <w:rPr>
                <w:sz w:val="24"/>
                <w:szCs w:val="24"/>
                <w:color w:val="auto"/>
              </w:rPr>
            </w:pPr>
          </w:p>
        </w:tc>
        <w:tc>
          <w:tcPr>
            <w:tcW w:w="2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8</w:t>
            </w:r>
          </w:p>
        </w:tc>
        <w:tc>
          <w:tcPr>
            <w:tcW w:w="2080" w:type="dxa"/>
            <w:vAlign w:val="bottom"/>
          </w:tcPr>
          <w:p>
            <w:pPr>
              <w:ind w:left="60"/>
              <w:spacing w:after="0"/>
              <w:rPr>
                <w:sz w:val="20"/>
                <w:szCs w:val="20"/>
                <w:color w:val="auto"/>
              </w:rPr>
            </w:pPr>
            <w:r>
              <w:rPr>
                <w:rFonts w:ascii="Times New Roman" w:cs="Times New Roman" w:eastAsia="Times New Roman" w:hAnsi="Times New Roman"/>
                <w:sz w:val="22"/>
                <w:szCs w:val="22"/>
                <w:color w:val="auto"/>
              </w:rPr>
              <w:t>Power</w:t>
            </w:r>
          </w:p>
        </w:tc>
        <w:tc>
          <w:tcPr>
            <w:tcW w:w="0" w:type="dxa"/>
            <w:vAlign w:val="bottom"/>
          </w:tcPr>
          <w:p>
            <w:pPr>
              <w:spacing w:after="0"/>
              <w:rPr>
                <w:sz w:val="1"/>
                <w:szCs w:val="1"/>
                <w:color w:val="auto"/>
              </w:rPr>
            </w:pPr>
          </w:p>
        </w:tc>
      </w:tr>
      <w:tr>
        <w:trPr>
          <w:trHeight w:val="364"/>
        </w:trPr>
        <w:tc>
          <w:tcPr>
            <w:tcW w:w="11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2080" w:type="dxa"/>
            <w:vAlign w:val="bottom"/>
          </w:tcPr>
          <w:p>
            <w:pPr>
              <w:ind w:left="60"/>
              <w:spacing w:after="0"/>
              <w:rPr>
                <w:sz w:val="20"/>
                <w:szCs w:val="20"/>
                <w:color w:val="auto"/>
              </w:rPr>
            </w:pPr>
            <w:r>
              <w:rPr>
                <w:rFonts w:ascii="Times New Roman" w:cs="Times New Roman" w:eastAsia="Times New Roman" w:hAnsi="Times New Roman"/>
                <w:sz w:val="22"/>
                <w:szCs w:val="22"/>
                <w:color w:val="auto"/>
              </w:rPr>
              <w:t>11,605,313.00</w:t>
            </w:r>
          </w:p>
        </w:tc>
        <w:tc>
          <w:tcPr>
            <w:tcW w:w="0" w:type="dxa"/>
            <w:vAlign w:val="bottom"/>
          </w:tcPr>
          <w:p>
            <w:pPr>
              <w:spacing w:after="0"/>
              <w:rPr>
                <w:sz w:val="1"/>
                <w:szCs w:val="1"/>
                <w:color w:val="auto"/>
              </w:rPr>
            </w:pPr>
          </w:p>
        </w:tc>
      </w:tr>
    </w:tbl>
    <w:p>
      <w:pPr>
        <w:spacing w:after="0" w:line="55" w:lineRule="exact"/>
        <w:rPr>
          <w:sz w:val="20"/>
          <w:szCs w:val="20"/>
          <w:color w:val="auto"/>
        </w:rPr>
      </w:pPr>
    </w:p>
    <w:p>
      <w:pPr>
        <w:ind w:left="1160" w:hanging="1112"/>
        <w:spacing w:after="0"/>
        <w:tabs>
          <w:tab w:leader="none" w:pos="1160" w:val="left"/>
        </w:tabs>
        <w:numPr>
          <w:ilvl w:val="0"/>
          <w:numId w:val="5"/>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Aggregate Amount Beneficially Owned by Each Reporting Person</w:t>
      </w:r>
    </w:p>
    <w:p>
      <w:pPr>
        <w:sectPr>
          <w:pgSz w:w="11900" w:h="16838" w:orient="portrait"/>
          <w:cols w:equalWidth="0" w:num="1">
            <w:col w:w="11220"/>
          </w:cols>
          <w:pgMar w:left="320" w:top="111" w:right="359" w:bottom="0" w:gutter="0" w:footer="0" w:header="0"/>
          <w:type w:val="continuous"/>
        </w:sectPr>
      </w:pPr>
    </w:p>
    <w:bookmarkStart w:id="2" w:name="page3"/>
    <w:bookmarkEnd w:id="2"/>
    <w:p>
      <w:pPr>
        <w:ind w:left="1160"/>
        <w:spacing w:after="0"/>
        <w:rPr>
          <w:sz w:val="20"/>
          <w:szCs w:val="20"/>
          <w:color w:val="auto"/>
        </w:rPr>
      </w:pPr>
      <w:r>
        <w:rPr>
          <w:rFonts w:ascii="Times New Roman" w:cs="Times New Roman" w:eastAsia="Times New Roman" w:hAnsi="Times New Roman"/>
          <w:sz w:val="22"/>
          <w:szCs w:val="22"/>
          <w:color w:val="auto"/>
        </w:rPr>
        <w:t>11,605,313.00</w:t>
      </w:r>
    </w:p>
    <w:p>
      <w:pPr>
        <w:spacing w:after="0" w:line="31"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Check box if the aggregate amount in row (9) excludes certain shares (See Instructions)</w:t>
      </w:r>
    </w:p>
    <w:p>
      <w:pPr>
        <w:ind w:left="40"/>
        <w:spacing w:after="0"/>
        <w:rPr>
          <w:sz w:val="20"/>
          <w:szCs w:val="20"/>
          <w:color w:val="auto"/>
        </w:rPr>
      </w:pPr>
      <w:r>
        <w:rPr>
          <w:rFonts w:ascii="Times New Roman" w:cs="Times New Roman" w:eastAsia="Times New Roman" w:hAnsi="Times New Roman"/>
          <w:sz w:val="22"/>
          <w:szCs w:val="22"/>
          <w:color w:val="auto"/>
        </w:rPr>
        <w:t>10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742315</wp:posOffset>
            </wp:positionH>
            <wp:positionV relativeFrom="paragraph">
              <wp:posOffset>12700</wp:posOffset>
            </wp:positionV>
            <wp:extent cx="128905" cy="12890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30"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Percent of class represented by amount in row (9)</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11</w:t>
      </w:r>
    </w:p>
    <w:p>
      <w:pPr>
        <w:ind w:left="1160"/>
        <w:spacing w:after="0"/>
        <w:rPr>
          <w:sz w:val="20"/>
          <w:szCs w:val="20"/>
          <w:color w:val="auto"/>
        </w:rPr>
      </w:pPr>
      <w:r>
        <w:rPr>
          <w:rFonts w:ascii="Times New Roman" w:cs="Times New Roman" w:eastAsia="Times New Roman" w:hAnsi="Times New Roman"/>
          <w:sz w:val="22"/>
          <w:szCs w:val="22"/>
          <w:color w:val="auto"/>
        </w:rPr>
        <w:t>5.1 %</w:t>
      </w:r>
    </w:p>
    <w:p>
      <w:pPr>
        <w:spacing w:after="0" w:line="20"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Type of Reporting Person (See Instructions)</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12</w:t>
      </w:r>
    </w:p>
    <w:p>
      <w:pPr>
        <w:ind w:left="1160"/>
        <w:spacing w:after="0"/>
        <w:rPr>
          <w:sz w:val="20"/>
          <w:szCs w:val="20"/>
          <w:color w:val="auto"/>
        </w:rPr>
      </w:pPr>
      <w:r>
        <w:rPr>
          <w:rFonts w:ascii="Times New Roman" w:cs="Times New Roman" w:eastAsia="Times New Roman" w:hAnsi="Times New Roman"/>
          <w:sz w:val="22"/>
          <w:szCs w:val="22"/>
          <w:color w:val="auto"/>
        </w:rPr>
        <w:t>BD, PN</w:t>
      </w:r>
    </w:p>
    <w:p>
      <w:pPr>
        <w:spacing w:after="0" w:line="246" w:lineRule="exact"/>
        <w:rPr>
          <w:sz w:val="20"/>
          <w:szCs w:val="20"/>
          <w:color w:val="auto"/>
        </w:rPr>
      </w:pPr>
    </w:p>
    <w:p>
      <w:pPr>
        <w:spacing w:after="0" w:line="237" w:lineRule="auto"/>
        <w:rPr>
          <w:sz w:val="20"/>
          <w:szCs w:val="20"/>
          <w:color w:val="auto"/>
        </w:rPr>
      </w:pPr>
      <w:r>
        <w:rPr>
          <w:rFonts w:ascii="Times New Roman" w:cs="Times New Roman" w:eastAsia="Times New Roman" w:hAnsi="Times New Roman"/>
          <w:sz w:val="22"/>
          <w:szCs w:val="22"/>
          <w:b w:val="1"/>
          <w:bCs w:val="1"/>
          <w:color w:val="auto"/>
        </w:rPr>
        <w:t xml:space="preserve">Comment for Type of Reporting Person: </w:t>
      </w:r>
      <w:r>
        <w:rPr>
          <w:rFonts w:ascii="Times New Roman" w:cs="Times New Roman" w:eastAsia="Times New Roman" w:hAnsi="Times New Roman"/>
          <w:sz w:val="22"/>
          <w:szCs w:val="22"/>
          <w:color w:val="auto"/>
        </w:rPr>
        <w:t>With respect to Row 5 through Row 9 above, G1 Execution Services, LLC, SIG</w:t>
      </w:r>
      <w:r>
        <w:rPr>
          <w:rFonts w:ascii="Times New Roman" w:cs="Times New Roman" w:eastAsia="Times New Roman" w:hAnsi="Times New Roman"/>
          <w:sz w:val="22"/>
          <w:szCs w:val="22"/>
          <w:b w:val="1"/>
          <w:bCs w:val="1"/>
          <w:color w:val="auto"/>
        </w:rPr>
        <w:t xml:space="preserve"> </w:t>
      </w:r>
      <w:r>
        <w:rPr>
          <w:rFonts w:ascii="Times New Roman" w:cs="Times New Roman" w:eastAsia="Times New Roman" w:hAnsi="Times New Roman"/>
          <w:sz w:val="22"/>
          <w:szCs w:val="22"/>
          <w:color w:val="auto"/>
        </w:rPr>
        <w:t>Brokerage, LP, Susquehanna Investment Group and Susquehanna Securities, LLC are affiliated independent broker-dealers which may be deemed a group. For purposes of this report, we have indicated that each reporting person has sole voting and dispositive power with respect to the shares beneficially owned by it and that the reporting persons have shared voting and dispositive power with respect to all shares beneficially owned by all of the reporting persons. Each of the reporting persons disclaims beneficial ownership of shares owned directly by another reporting person.</w:t>
      </w: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60"/>
        <w:spacing w:after="0"/>
        <w:rPr>
          <w:sz w:val="20"/>
          <w:szCs w:val="20"/>
          <w:color w:val="auto"/>
        </w:rPr>
      </w:pPr>
      <w:r>
        <w:rPr>
          <w:rFonts w:ascii="Times New Roman" w:cs="Times New Roman" w:eastAsia="Times New Roman" w:hAnsi="Times New Roman"/>
          <w:sz w:val="26"/>
          <w:szCs w:val="26"/>
          <w:color w:val="auto"/>
        </w:rPr>
        <w:t>SCHEDULE 13G</w:t>
      </w:r>
    </w:p>
    <w:p>
      <w:pPr>
        <w:spacing w:after="0" w:line="29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b w:val="1"/>
          <w:bCs w:val="1"/>
          <w:color w:val="auto"/>
        </w:rPr>
        <w:t xml:space="preserve">CUSIP No. </w:t>
      </w:r>
      <w:r>
        <w:rPr>
          <w:rFonts w:ascii="Times New Roman" w:cs="Times New Roman" w:eastAsia="Times New Roman" w:hAnsi="Times New Roman"/>
          <w:sz w:val="19"/>
          <w:szCs w:val="19"/>
          <w:color w:val="auto"/>
        </w:rPr>
        <w:t>594972408</w:t>
      </w:r>
    </w:p>
    <w:p>
      <w:pPr>
        <w:spacing w:after="0" w:line="200" w:lineRule="exact"/>
        <w:rPr>
          <w:sz w:val="20"/>
          <w:szCs w:val="20"/>
          <w:color w:val="auto"/>
        </w:rPr>
      </w:pPr>
    </w:p>
    <w:p>
      <w:pPr>
        <w:spacing w:after="0" w:line="361"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Names of Reporting Persons</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w:t>
      </w:r>
    </w:p>
    <w:p>
      <w:pPr>
        <w:ind w:left="1160"/>
        <w:spacing w:after="0"/>
        <w:rPr>
          <w:sz w:val="20"/>
          <w:szCs w:val="20"/>
          <w:color w:val="auto"/>
        </w:rPr>
      </w:pPr>
      <w:r>
        <w:rPr>
          <w:rFonts w:ascii="Times New Roman" w:cs="Times New Roman" w:eastAsia="Times New Roman" w:hAnsi="Times New Roman"/>
          <w:sz w:val="22"/>
          <w:szCs w:val="22"/>
          <w:color w:val="auto"/>
        </w:rPr>
        <w:t>Susquehanna Investment Group</w:t>
      </w:r>
    </w:p>
    <w:p>
      <w:pPr>
        <w:spacing w:after="0" w:line="20"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Check the appropriate box if a member of a Group (see instructions)</w:t>
      </w:r>
    </w:p>
    <w:p>
      <w:pPr>
        <w:spacing w:after="0" w:line="33" w:lineRule="exact"/>
        <w:rPr>
          <w:sz w:val="20"/>
          <w:szCs w:val="20"/>
          <w:color w:val="auto"/>
        </w:rPr>
      </w:pPr>
    </w:p>
    <w:p>
      <w:pPr>
        <w:ind w:left="1160" w:hanging="1112"/>
        <w:spacing w:after="0"/>
        <w:tabs>
          <w:tab w:leader="none" w:pos="1160" w:val="left"/>
        </w:tabs>
        <w:numPr>
          <w:ilvl w:val="0"/>
          <w:numId w:val="6"/>
        </w:numPr>
        <w:rPr>
          <w:rFonts w:ascii="Times New Roman" w:cs="Times New Roman" w:eastAsia="Times New Roman" w:hAnsi="Times New Roman"/>
          <w:sz w:val="43"/>
          <w:szCs w:val="43"/>
          <w:color w:val="auto"/>
          <w:vertAlign w:val="superscript"/>
        </w:rPr>
      </w:pPr>
      <w:r>
        <w:rPr>
          <w:sz w:val="1"/>
          <w:szCs w:val="1"/>
          <w:color w:val="auto"/>
        </w:rPr>
        <w:drawing>
          <wp:inline distT="0" distB="0" distL="0" distR="0">
            <wp:extent cx="128905" cy="128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w:t>
      </w:r>
    </w:p>
    <w:p>
      <w:pPr>
        <w:ind w:left="1160"/>
        <w:spacing w:after="0"/>
        <w:rPr>
          <w:rFonts w:ascii="Times New Roman" w:cs="Times New Roman" w:eastAsia="Times New Roman" w:hAnsi="Times New Roman"/>
          <w:sz w:val="43"/>
          <w:szCs w:val="43"/>
          <w:color w:val="auto"/>
          <w:vertAlign w:val="superscript"/>
        </w:rPr>
      </w:pPr>
      <w:r>
        <w:rPr>
          <w:rFonts w:ascii="Times New Roman" w:cs="Times New Roman" w:eastAsia="Times New Roman" w:hAnsi="Times New Roman"/>
          <w:sz w:val="1"/>
          <w:szCs w:val="1"/>
          <w:color w:val="auto"/>
          <w:vertAlign w:val="superscript"/>
        </w:rPr>
        <w:drawing>
          <wp:inline distT="0" distB="0" distL="0" distR="0">
            <wp:extent cx="128905" cy="1282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128905" cy="12827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w:t>
      </w:r>
    </w:p>
    <w:p>
      <w:pPr>
        <w:sectPr>
          <w:pgSz w:w="11900" w:h="16838" w:orient="portrait"/>
          <w:cols w:equalWidth="0" w:num="1">
            <w:col w:w="11220"/>
          </w:cols>
          <w:pgMar w:left="320" w:top="355" w:right="359" w:bottom="59" w:gutter="0" w:footer="0" w:header="0"/>
        </w:sectPr>
      </w:pPr>
    </w:p>
    <w:p>
      <w:pPr>
        <w:spacing w:after="0" w:line="30"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3</w:t>
      </w:r>
    </w:p>
    <w:p>
      <w:pPr>
        <w:spacing w:after="0" w:line="28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4</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Number of</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Shares</w:t>
      </w:r>
    </w:p>
    <w:p>
      <w:pPr>
        <w:ind w:left="40"/>
        <w:spacing w:after="0"/>
        <w:rPr>
          <w:sz w:val="20"/>
          <w:szCs w:val="20"/>
          <w:color w:val="auto"/>
        </w:rPr>
      </w:pPr>
      <w:r>
        <w:rPr>
          <w:rFonts w:ascii="Times New Roman" w:cs="Times New Roman" w:eastAsia="Times New Roman" w:hAnsi="Times New Roman"/>
          <w:sz w:val="21"/>
          <w:szCs w:val="21"/>
          <w:color w:val="auto"/>
        </w:rPr>
        <w:t>Beneficially</w:t>
      </w:r>
    </w:p>
    <w:p>
      <w:pPr>
        <w:ind w:left="40"/>
        <w:spacing w:after="0" w:line="231" w:lineRule="auto"/>
        <w:rPr>
          <w:sz w:val="20"/>
          <w:szCs w:val="20"/>
          <w:color w:val="auto"/>
        </w:rPr>
      </w:pPr>
      <w:r>
        <w:rPr>
          <w:rFonts w:ascii="Times New Roman" w:cs="Times New Roman" w:eastAsia="Times New Roman" w:hAnsi="Times New Roman"/>
          <w:sz w:val="22"/>
          <w:szCs w:val="22"/>
          <w:color w:val="auto"/>
        </w:rPr>
        <w:t>Owned by</w:t>
      </w:r>
    </w:p>
    <w:p>
      <w:pPr>
        <w:ind w:left="40"/>
        <w:spacing w:after="0" w:line="231" w:lineRule="auto"/>
        <w:rPr>
          <w:sz w:val="20"/>
          <w:szCs w:val="20"/>
          <w:color w:val="auto"/>
        </w:rPr>
      </w:pPr>
      <w:r>
        <w:rPr>
          <w:rFonts w:ascii="Times New Roman" w:cs="Times New Roman" w:eastAsia="Times New Roman" w:hAnsi="Times New Roman"/>
          <w:sz w:val="22"/>
          <w:szCs w:val="22"/>
          <w:color w:val="auto"/>
        </w:rPr>
        <w:t>Each</w:t>
      </w:r>
    </w:p>
    <w:p>
      <w:pPr>
        <w:ind w:left="40"/>
        <w:spacing w:after="0" w:line="231" w:lineRule="auto"/>
        <w:rPr>
          <w:sz w:val="20"/>
          <w:szCs w:val="20"/>
          <w:color w:val="auto"/>
        </w:rPr>
      </w:pPr>
      <w:r>
        <w:rPr>
          <w:rFonts w:ascii="Times New Roman" w:cs="Times New Roman" w:eastAsia="Times New Roman" w:hAnsi="Times New Roman"/>
          <w:sz w:val="22"/>
          <w:szCs w:val="22"/>
          <w:color w:val="auto"/>
        </w:rPr>
        <w:t>Reporting</w:t>
      </w:r>
    </w:p>
    <w:p>
      <w:pPr>
        <w:ind w:left="40"/>
        <w:spacing w:after="0" w:line="230" w:lineRule="auto"/>
        <w:rPr>
          <w:sz w:val="20"/>
          <w:szCs w:val="20"/>
          <w:color w:val="auto"/>
        </w:rPr>
      </w:pPr>
      <w:r>
        <w:rPr>
          <w:rFonts w:ascii="Times New Roman" w:cs="Times New Roman" w:eastAsia="Times New Roman" w:hAnsi="Times New Roman"/>
          <w:sz w:val="22"/>
          <w:szCs w:val="22"/>
          <w:color w:val="auto"/>
        </w:rPr>
        <w:t>Person</w:t>
      </w:r>
    </w:p>
    <w:p>
      <w:pPr>
        <w:spacing w:after="0" w:line="1"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With:</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2"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9</w:t>
      </w:r>
    </w:p>
    <w:p>
      <w:pPr>
        <w:spacing w:after="0" w:line="200" w:lineRule="exact"/>
        <w:rPr>
          <w:sz w:val="20"/>
          <w:szCs w:val="20"/>
          <w:color w:val="auto"/>
        </w:rPr>
      </w:pPr>
    </w:p>
    <w:p>
      <w:pPr>
        <w:spacing w:after="0" w:line="30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10</w:t>
      </w:r>
    </w:p>
    <w:p>
      <w:pPr>
        <w:spacing w:after="0" w:line="200" w:lineRule="exact"/>
        <w:rPr>
          <w:sz w:val="20"/>
          <w:szCs w:val="20"/>
          <w:color w:val="auto"/>
        </w:rPr>
      </w:pPr>
    </w:p>
    <w:p>
      <w:pPr>
        <w:spacing w:after="0" w:line="31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11</w:t>
      </w:r>
    </w:p>
    <w:p>
      <w:pPr>
        <w:spacing w:after="0" w:line="200" w:lineRule="exact"/>
        <w:rPr>
          <w:sz w:val="20"/>
          <w:szCs w:val="20"/>
          <w:color w:val="auto"/>
        </w:rPr>
      </w:pPr>
    </w:p>
    <w:p>
      <w:pPr>
        <w:spacing w:after="0" w:line="330"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12</w:t>
      </w:r>
    </w:p>
    <w:p>
      <w:pPr>
        <w:spacing w:after="0" w:line="20" w:lineRule="exact"/>
        <w:rPr>
          <w:sz w:val="20"/>
          <w:szCs w:val="20"/>
          <w:color w:val="auto"/>
        </w:rPr>
      </w:pPr>
      <w:r>
        <w:rPr>
          <w:sz w:val="20"/>
          <w:szCs w:val="20"/>
          <w:color w:val="auto"/>
        </w:rPr>
        <w:br w:type="column"/>
      </w:r>
    </w:p>
    <w:p>
      <w:pPr>
        <w:spacing w:after="0" w:line="10"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Sec Use Only</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Citizenship or Place of Organization</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PENNSYLVANIA</w:t>
      </w:r>
    </w:p>
    <w:p>
      <w:pPr>
        <w:spacing w:after="0" w:line="85"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Sole Voting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5</w:t>
      </w:r>
    </w:p>
    <w:p>
      <w:pPr>
        <w:ind w:left="280"/>
        <w:spacing w:after="0"/>
        <w:rPr>
          <w:sz w:val="20"/>
          <w:szCs w:val="20"/>
          <w:color w:val="auto"/>
        </w:rPr>
      </w:pPr>
      <w:r>
        <w:rPr>
          <w:rFonts w:ascii="Times New Roman" w:cs="Times New Roman" w:eastAsia="Times New Roman" w:hAnsi="Times New Roman"/>
          <w:sz w:val="22"/>
          <w:szCs w:val="22"/>
          <w:color w:val="auto"/>
        </w:rPr>
        <w:t>57,000.00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Voting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6</w:t>
      </w: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Sole Dispositive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7</w:t>
      </w:r>
    </w:p>
    <w:p>
      <w:pPr>
        <w:ind w:left="280"/>
        <w:spacing w:after="0"/>
        <w:rPr>
          <w:sz w:val="20"/>
          <w:szCs w:val="20"/>
          <w:color w:val="auto"/>
        </w:rPr>
      </w:pPr>
      <w:r>
        <w:rPr>
          <w:rFonts w:ascii="Times New Roman" w:cs="Times New Roman" w:eastAsia="Times New Roman" w:hAnsi="Times New Roman"/>
          <w:sz w:val="22"/>
          <w:szCs w:val="22"/>
          <w:color w:val="auto"/>
        </w:rPr>
        <w:t>57,000.00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Dispositive</w:t>
      </w:r>
    </w:p>
    <w:p>
      <w:pPr>
        <w:ind w:left="40"/>
        <w:spacing w:after="0" w:line="191" w:lineRule="auto"/>
        <w:rPr>
          <w:sz w:val="20"/>
          <w:szCs w:val="20"/>
          <w:color w:val="auto"/>
        </w:rPr>
      </w:pPr>
      <w:r>
        <w:rPr>
          <w:rFonts w:ascii="Times New Roman" w:cs="Times New Roman" w:eastAsia="Times New Roman" w:hAnsi="Times New Roman"/>
          <w:sz w:val="43"/>
          <w:szCs w:val="43"/>
          <w:color w:val="auto"/>
          <w:vertAlign w:val="subscript"/>
        </w:rPr>
        <w:t>8</w:t>
      </w:r>
      <w:r>
        <w:rPr>
          <w:rFonts w:ascii="Times New Roman" w:cs="Times New Roman" w:eastAsia="Times New Roman" w:hAnsi="Times New Roman"/>
          <w:sz w:val="22"/>
          <w:szCs w:val="22"/>
          <w:color w:val="auto"/>
        </w:rPr>
        <w:t xml:space="preserve"> Power</w:t>
      </w:r>
    </w:p>
    <w:p>
      <w:pPr>
        <w:spacing w:after="0" w:line="83"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85"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Aggregate Amount Beneficially Owned by Each Reporting Person</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11,605,313.00</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Check box if the aggregate amount in row (9) excludes certain shares (See Instructions)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5715</wp:posOffset>
            </wp:positionH>
            <wp:positionV relativeFrom="paragraph">
              <wp:posOffset>172720</wp:posOffset>
            </wp:positionV>
            <wp:extent cx="128905" cy="12890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00" w:lineRule="exact"/>
        <w:rPr>
          <w:sz w:val="20"/>
          <w:szCs w:val="20"/>
          <w:color w:val="auto"/>
        </w:rPr>
      </w:pPr>
    </w:p>
    <w:p>
      <w:pPr>
        <w:spacing w:after="0" w:line="28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Percent of class represented by amount in row (9)</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5.1 %</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Type of Reporting Person (See Instructions)</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BD, PN</w:t>
      </w:r>
    </w:p>
    <w:p>
      <w:pPr>
        <w:sectPr>
          <w:pgSz w:w="11900" w:h="16838" w:orient="portrait"/>
          <w:cols w:equalWidth="0" w:num="2">
            <w:col w:w="1100" w:space="60"/>
            <w:col w:w="10060"/>
          </w:cols>
          <w:pgMar w:left="320" w:top="355" w:right="359" w:bottom="59" w:gutter="0" w:footer="0" w:header="0"/>
          <w:type w:val="continuous"/>
        </w:sectPr>
      </w:pPr>
    </w:p>
    <w:bookmarkStart w:id="3" w:name="page4"/>
    <w:bookmarkEnd w:id="3"/>
    <w:p>
      <w:pPr>
        <w:spacing w:after="0" w:line="237" w:lineRule="auto"/>
        <w:rPr>
          <w:sz w:val="20"/>
          <w:szCs w:val="20"/>
          <w:color w:val="auto"/>
        </w:rPr>
      </w:pPr>
      <w:r>
        <w:rPr>
          <w:rFonts w:ascii="Times New Roman" w:cs="Times New Roman" w:eastAsia="Times New Roman" w:hAnsi="Times New Roman"/>
          <w:sz w:val="22"/>
          <w:szCs w:val="22"/>
          <w:b w:val="1"/>
          <w:bCs w:val="1"/>
          <w:color w:val="auto"/>
        </w:rPr>
        <w:t xml:space="preserve">Comment for Type of Reporting Person: </w:t>
      </w:r>
      <w:r>
        <w:rPr>
          <w:rFonts w:ascii="Times New Roman" w:cs="Times New Roman" w:eastAsia="Times New Roman" w:hAnsi="Times New Roman"/>
          <w:sz w:val="22"/>
          <w:szCs w:val="22"/>
          <w:color w:val="auto"/>
        </w:rPr>
        <w:t>With respect to Row 5 through Row 9 above, G1 Execution Services, LLC, SIG</w:t>
      </w:r>
      <w:r>
        <w:rPr>
          <w:rFonts w:ascii="Times New Roman" w:cs="Times New Roman" w:eastAsia="Times New Roman" w:hAnsi="Times New Roman"/>
          <w:sz w:val="22"/>
          <w:szCs w:val="22"/>
          <w:b w:val="1"/>
          <w:bCs w:val="1"/>
          <w:color w:val="auto"/>
        </w:rPr>
        <w:t xml:space="preserve"> </w:t>
      </w:r>
      <w:r>
        <w:rPr>
          <w:rFonts w:ascii="Times New Roman" w:cs="Times New Roman" w:eastAsia="Times New Roman" w:hAnsi="Times New Roman"/>
          <w:sz w:val="22"/>
          <w:szCs w:val="22"/>
          <w:color w:val="auto"/>
        </w:rPr>
        <w:t>Brokerage, LP, Susquehanna Investment Group and Susquehanna Securities, LLC are affiliated independent broker-dealers which may be deemed a group. For purposes of this report, we have indicated that each reporting person has sole voting and dispositive power with respect to the shares beneficially owned by it and that the reporting persons have shared voting and dispositive power with respect to all shares beneficially owned by all of the reporting persons. Each of the reporting persons disclaims beneficial ownership of shares owned directly by another reporting person.</w:t>
      </w: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60"/>
        <w:spacing w:after="0"/>
        <w:rPr>
          <w:sz w:val="20"/>
          <w:szCs w:val="20"/>
          <w:color w:val="auto"/>
        </w:rPr>
      </w:pPr>
      <w:r>
        <w:rPr>
          <w:rFonts w:ascii="Times New Roman" w:cs="Times New Roman" w:eastAsia="Times New Roman" w:hAnsi="Times New Roman"/>
          <w:sz w:val="26"/>
          <w:szCs w:val="26"/>
          <w:color w:val="auto"/>
        </w:rPr>
        <w:t>SCHEDULE 13G</w:t>
      </w:r>
    </w:p>
    <w:p>
      <w:pPr>
        <w:spacing w:after="0" w:line="29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b w:val="1"/>
          <w:bCs w:val="1"/>
          <w:color w:val="auto"/>
        </w:rPr>
        <w:t xml:space="preserve">CUSIP No. </w:t>
      </w:r>
      <w:r>
        <w:rPr>
          <w:rFonts w:ascii="Times New Roman" w:cs="Times New Roman" w:eastAsia="Times New Roman" w:hAnsi="Times New Roman"/>
          <w:sz w:val="19"/>
          <w:szCs w:val="19"/>
          <w:color w:val="auto"/>
        </w:rPr>
        <w:t>594972408</w:t>
      </w:r>
    </w:p>
    <w:p>
      <w:pPr>
        <w:spacing w:after="0" w:line="200" w:lineRule="exact"/>
        <w:rPr>
          <w:sz w:val="20"/>
          <w:szCs w:val="20"/>
          <w:color w:val="auto"/>
        </w:rPr>
      </w:pPr>
    </w:p>
    <w:p>
      <w:pPr>
        <w:spacing w:after="0" w:line="361"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Names of Reporting Persons</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w:t>
      </w:r>
    </w:p>
    <w:p>
      <w:pPr>
        <w:ind w:left="1160"/>
        <w:spacing w:after="0"/>
        <w:rPr>
          <w:sz w:val="20"/>
          <w:szCs w:val="20"/>
          <w:color w:val="auto"/>
        </w:rPr>
      </w:pPr>
      <w:r>
        <w:rPr>
          <w:rFonts w:ascii="Times New Roman" w:cs="Times New Roman" w:eastAsia="Times New Roman" w:hAnsi="Times New Roman"/>
          <w:sz w:val="22"/>
          <w:szCs w:val="22"/>
          <w:color w:val="auto"/>
        </w:rPr>
        <w:t>Susquehanna Securities, LLC</w:t>
      </w:r>
    </w:p>
    <w:p>
      <w:pPr>
        <w:spacing w:after="0" w:line="20" w:lineRule="exact"/>
        <w:rPr>
          <w:sz w:val="20"/>
          <w:szCs w:val="20"/>
          <w:color w:val="auto"/>
        </w:rPr>
      </w:pPr>
    </w:p>
    <w:p>
      <w:pPr>
        <w:ind w:left="1160"/>
        <w:spacing w:after="0"/>
        <w:rPr>
          <w:sz w:val="20"/>
          <w:szCs w:val="20"/>
          <w:color w:val="auto"/>
        </w:rPr>
      </w:pPr>
      <w:r>
        <w:rPr>
          <w:rFonts w:ascii="Times New Roman" w:cs="Times New Roman" w:eastAsia="Times New Roman" w:hAnsi="Times New Roman"/>
          <w:sz w:val="22"/>
          <w:szCs w:val="22"/>
          <w:color w:val="auto"/>
        </w:rPr>
        <w:t>Check the appropriate box if a member of a Group (see instructions)</w:t>
      </w:r>
    </w:p>
    <w:p>
      <w:pPr>
        <w:spacing w:after="0" w:line="33" w:lineRule="exact"/>
        <w:rPr>
          <w:sz w:val="20"/>
          <w:szCs w:val="20"/>
          <w:color w:val="auto"/>
        </w:rPr>
      </w:pPr>
    </w:p>
    <w:p>
      <w:pPr>
        <w:ind w:left="1160" w:hanging="1112"/>
        <w:spacing w:after="0"/>
        <w:tabs>
          <w:tab w:leader="none" w:pos="1160" w:val="left"/>
        </w:tabs>
        <w:numPr>
          <w:ilvl w:val="0"/>
          <w:numId w:val="7"/>
        </w:numPr>
        <w:rPr>
          <w:rFonts w:ascii="Times New Roman" w:cs="Times New Roman" w:eastAsia="Times New Roman" w:hAnsi="Times New Roman"/>
          <w:sz w:val="43"/>
          <w:szCs w:val="43"/>
          <w:color w:val="auto"/>
          <w:vertAlign w:val="superscript"/>
        </w:rPr>
      </w:pPr>
      <w:r>
        <w:rPr>
          <w:sz w:val="1"/>
          <w:szCs w:val="1"/>
          <w:color w:val="auto"/>
        </w:rPr>
        <w:drawing>
          <wp:inline distT="0" distB="0" distL="0" distR="0">
            <wp:extent cx="128905" cy="128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w:t>
      </w:r>
    </w:p>
    <w:p>
      <w:pPr>
        <w:ind w:left="1160"/>
        <w:spacing w:after="0"/>
        <w:rPr>
          <w:rFonts w:ascii="Times New Roman" w:cs="Times New Roman" w:eastAsia="Times New Roman" w:hAnsi="Times New Roman"/>
          <w:sz w:val="43"/>
          <w:szCs w:val="43"/>
          <w:color w:val="auto"/>
          <w:vertAlign w:val="superscript"/>
        </w:rPr>
      </w:pPr>
      <w:r>
        <w:rPr>
          <w:rFonts w:ascii="Times New Roman" w:cs="Times New Roman" w:eastAsia="Times New Roman" w:hAnsi="Times New Roman"/>
          <w:sz w:val="1"/>
          <w:szCs w:val="1"/>
          <w:color w:val="auto"/>
          <w:vertAlign w:val="superscript"/>
        </w:rPr>
        <w:drawing>
          <wp:inline distT="0" distB="0" distL="0" distR="0">
            <wp:extent cx="128905" cy="1289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w:t>
      </w:r>
    </w:p>
    <w:p>
      <w:pPr>
        <w:sectPr>
          <w:pgSz w:w="11900" w:h="16838" w:orient="portrait"/>
          <w:cols w:equalWidth="0" w:num="1">
            <w:col w:w="11220"/>
          </w:cols>
          <w:pgMar w:left="320" w:top="108" w:right="359" w:bottom="0" w:gutter="0" w:footer="0" w:header="0"/>
        </w:sectPr>
      </w:pPr>
    </w:p>
    <w:p>
      <w:pPr>
        <w:spacing w:after="0" w:line="30"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3</w:t>
      </w:r>
    </w:p>
    <w:p>
      <w:pPr>
        <w:spacing w:after="0" w:line="28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4</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Number of</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Shares</w:t>
      </w:r>
    </w:p>
    <w:p>
      <w:pPr>
        <w:ind w:left="40"/>
        <w:spacing w:after="0"/>
        <w:rPr>
          <w:sz w:val="20"/>
          <w:szCs w:val="20"/>
          <w:color w:val="auto"/>
        </w:rPr>
      </w:pPr>
      <w:r>
        <w:rPr>
          <w:rFonts w:ascii="Times New Roman" w:cs="Times New Roman" w:eastAsia="Times New Roman" w:hAnsi="Times New Roman"/>
          <w:sz w:val="21"/>
          <w:szCs w:val="21"/>
          <w:color w:val="auto"/>
        </w:rPr>
        <w:t>Beneficially</w:t>
      </w:r>
    </w:p>
    <w:p>
      <w:pPr>
        <w:ind w:left="40"/>
        <w:spacing w:after="0" w:line="231" w:lineRule="auto"/>
        <w:rPr>
          <w:sz w:val="20"/>
          <w:szCs w:val="20"/>
          <w:color w:val="auto"/>
        </w:rPr>
      </w:pPr>
      <w:r>
        <w:rPr>
          <w:rFonts w:ascii="Times New Roman" w:cs="Times New Roman" w:eastAsia="Times New Roman" w:hAnsi="Times New Roman"/>
          <w:sz w:val="22"/>
          <w:szCs w:val="22"/>
          <w:color w:val="auto"/>
        </w:rPr>
        <w:t>Owned by</w:t>
      </w:r>
    </w:p>
    <w:p>
      <w:pPr>
        <w:ind w:left="40"/>
        <w:spacing w:after="0" w:line="231" w:lineRule="auto"/>
        <w:rPr>
          <w:sz w:val="20"/>
          <w:szCs w:val="20"/>
          <w:color w:val="auto"/>
        </w:rPr>
      </w:pPr>
      <w:r>
        <w:rPr>
          <w:rFonts w:ascii="Times New Roman" w:cs="Times New Roman" w:eastAsia="Times New Roman" w:hAnsi="Times New Roman"/>
          <w:sz w:val="22"/>
          <w:szCs w:val="22"/>
          <w:color w:val="auto"/>
        </w:rPr>
        <w:t>Each</w:t>
      </w:r>
    </w:p>
    <w:p>
      <w:pPr>
        <w:ind w:left="40"/>
        <w:spacing w:after="0" w:line="231" w:lineRule="auto"/>
        <w:rPr>
          <w:sz w:val="20"/>
          <w:szCs w:val="20"/>
          <w:color w:val="auto"/>
        </w:rPr>
      </w:pPr>
      <w:r>
        <w:rPr>
          <w:rFonts w:ascii="Times New Roman" w:cs="Times New Roman" w:eastAsia="Times New Roman" w:hAnsi="Times New Roman"/>
          <w:sz w:val="22"/>
          <w:szCs w:val="22"/>
          <w:color w:val="auto"/>
        </w:rPr>
        <w:t>Reporting</w:t>
      </w:r>
    </w:p>
    <w:p>
      <w:pPr>
        <w:ind w:left="40"/>
        <w:spacing w:after="0" w:line="230" w:lineRule="auto"/>
        <w:rPr>
          <w:sz w:val="20"/>
          <w:szCs w:val="20"/>
          <w:color w:val="auto"/>
        </w:rPr>
      </w:pPr>
      <w:r>
        <w:rPr>
          <w:rFonts w:ascii="Times New Roman" w:cs="Times New Roman" w:eastAsia="Times New Roman" w:hAnsi="Times New Roman"/>
          <w:sz w:val="22"/>
          <w:szCs w:val="22"/>
          <w:color w:val="auto"/>
        </w:rPr>
        <w:t>Person</w:t>
      </w:r>
    </w:p>
    <w:p>
      <w:pPr>
        <w:spacing w:after="0" w:line="1"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With:</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2"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9</w:t>
      </w:r>
    </w:p>
    <w:p>
      <w:pPr>
        <w:spacing w:after="0" w:line="200" w:lineRule="exact"/>
        <w:rPr>
          <w:sz w:val="20"/>
          <w:szCs w:val="20"/>
          <w:color w:val="auto"/>
        </w:rPr>
      </w:pPr>
    </w:p>
    <w:p>
      <w:pPr>
        <w:spacing w:after="0" w:line="30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10</w:t>
      </w:r>
    </w:p>
    <w:p>
      <w:pPr>
        <w:spacing w:after="0" w:line="200" w:lineRule="exact"/>
        <w:rPr>
          <w:sz w:val="20"/>
          <w:szCs w:val="20"/>
          <w:color w:val="auto"/>
        </w:rPr>
      </w:pPr>
    </w:p>
    <w:p>
      <w:pPr>
        <w:spacing w:after="0" w:line="31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11</w:t>
      </w:r>
    </w:p>
    <w:p>
      <w:pPr>
        <w:spacing w:after="0" w:line="200" w:lineRule="exact"/>
        <w:rPr>
          <w:sz w:val="20"/>
          <w:szCs w:val="20"/>
          <w:color w:val="auto"/>
        </w:rPr>
      </w:pPr>
    </w:p>
    <w:p>
      <w:pPr>
        <w:spacing w:after="0" w:line="330"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12</w:t>
      </w:r>
    </w:p>
    <w:p>
      <w:pPr>
        <w:spacing w:after="0" w:line="20" w:lineRule="exact"/>
        <w:rPr>
          <w:sz w:val="20"/>
          <w:szCs w:val="20"/>
          <w:color w:val="auto"/>
        </w:rPr>
      </w:pPr>
      <w:r>
        <w:rPr>
          <w:sz w:val="20"/>
          <w:szCs w:val="20"/>
          <w:color w:val="auto"/>
        </w:rPr>
        <w:br w:type="column"/>
      </w:r>
    </w:p>
    <w:p>
      <w:pPr>
        <w:spacing w:after="0" w:line="10"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Sec Use Only</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Citizenship or Place of Organization</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DELAWARE</w:t>
      </w:r>
    </w:p>
    <w:p>
      <w:pPr>
        <w:spacing w:after="0" w:line="85"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Sole Voting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5</w:t>
      </w:r>
    </w:p>
    <w:p>
      <w:pPr>
        <w:ind w:left="280"/>
        <w:spacing w:after="0"/>
        <w:rPr>
          <w:sz w:val="20"/>
          <w:szCs w:val="20"/>
          <w:color w:val="auto"/>
        </w:rPr>
      </w:pPr>
      <w:r>
        <w:rPr>
          <w:rFonts w:ascii="Times New Roman" w:cs="Times New Roman" w:eastAsia="Times New Roman" w:hAnsi="Times New Roman"/>
          <w:sz w:val="22"/>
          <w:szCs w:val="22"/>
          <w:color w:val="auto"/>
        </w:rPr>
        <w:t>11,533,933.00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Voting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6</w:t>
      </w: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Sole Dispositive Power</w:t>
      </w:r>
    </w:p>
    <w:p>
      <w:pPr>
        <w:spacing w:after="0" w:line="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7</w:t>
      </w:r>
    </w:p>
    <w:p>
      <w:pPr>
        <w:ind w:left="280"/>
        <w:spacing w:after="0"/>
        <w:rPr>
          <w:sz w:val="20"/>
          <w:szCs w:val="20"/>
          <w:color w:val="auto"/>
        </w:rPr>
      </w:pPr>
      <w:r>
        <w:rPr>
          <w:rFonts w:ascii="Times New Roman" w:cs="Times New Roman" w:eastAsia="Times New Roman" w:hAnsi="Times New Roman"/>
          <w:sz w:val="22"/>
          <w:szCs w:val="22"/>
          <w:color w:val="auto"/>
        </w:rPr>
        <w:t>11,533,933.00</w:t>
      </w:r>
    </w:p>
    <w:p>
      <w:pPr>
        <w:spacing w:after="0" w:line="20"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Shared Dispositive</w:t>
      </w:r>
    </w:p>
    <w:p>
      <w:pPr>
        <w:ind w:left="40"/>
        <w:spacing w:after="0" w:line="191" w:lineRule="auto"/>
        <w:rPr>
          <w:sz w:val="20"/>
          <w:szCs w:val="20"/>
          <w:color w:val="auto"/>
        </w:rPr>
      </w:pPr>
      <w:r>
        <w:rPr>
          <w:rFonts w:ascii="Times New Roman" w:cs="Times New Roman" w:eastAsia="Times New Roman" w:hAnsi="Times New Roman"/>
          <w:sz w:val="43"/>
          <w:szCs w:val="43"/>
          <w:color w:val="auto"/>
          <w:vertAlign w:val="subscript"/>
        </w:rPr>
        <w:t>8</w:t>
      </w:r>
      <w:r>
        <w:rPr>
          <w:rFonts w:ascii="Times New Roman" w:cs="Times New Roman" w:eastAsia="Times New Roman" w:hAnsi="Times New Roman"/>
          <w:sz w:val="22"/>
          <w:szCs w:val="22"/>
          <w:color w:val="auto"/>
        </w:rPr>
        <w:t xml:space="preserve"> Power</w:t>
      </w:r>
    </w:p>
    <w:p>
      <w:pPr>
        <w:spacing w:after="0" w:line="83" w:lineRule="exact"/>
        <w:rPr>
          <w:sz w:val="20"/>
          <w:szCs w:val="20"/>
          <w:color w:val="auto"/>
        </w:rPr>
      </w:pPr>
    </w:p>
    <w:p>
      <w:pPr>
        <w:ind w:left="280"/>
        <w:spacing w:after="0"/>
        <w:rPr>
          <w:sz w:val="20"/>
          <w:szCs w:val="20"/>
          <w:color w:val="auto"/>
        </w:rPr>
      </w:pPr>
      <w:r>
        <w:rPr>
          <w:rFonts w:ascii="Times New Roman" w:cs="Times New Roman" w:eastAsia="Times New Roman" w:hAnsi="Times New Roman"/>
          <w:sz w:val="22"/>
          <w:szCs w:val="22"/>
          <w:color w:val="auto"/>
        </w:rPr>
        <w:t>11,605,313.00</w:t>
      </w:r>
    </w:p>
    <w:p>
      <w:pPr>
        <w:spacing w:after="0" w:line="85"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Aggregate Amount Beneficially Owned by Each Reporting Person</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11,605,313.00</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Check box if the aggregate amount in row (9) excludes certain shares (See Instructions)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5715</wp:posOffset>
            </wp:positionH>
            <wp:positionV relativeFrom="paragraph">
              <wp:posOffset>172720</wp:posOffset>
            </wp:positionV>
            <wp:extent cx="128905" cy="12890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00" w:lineRule="exact"/>
        <w:rPr>
          <w:sz w:val="20"/>
          <w:szCs w:val="20"/>
          <w:color w:val="auto"/>
        </w:rPr>
      </w:pPr>
    </w:p>
    <w:p>
      <w:pPr>
        <w:spacing w:after="0" w:line="28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Percent of class represented by amount in row (9)</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5.1 %</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Type of Reporting Person (See Instructions)</w:t>
      </w:r>
    </w:p>
    <w:p>
      <w:pPr>
        <w:spacing w:after="0" w:line="2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BD, OO</w:t>
      </w:r>
    </w:p>
    <w:p>
      <w:pPr>
        <w:spacing w:after="0" w:line="200" w:lineRule="exact"/>
        <w:rPr>
          <w:sz w:val="20"/>
          <w:szCs w:val="20"/>
          <w:color w:val="auto"/>
        </w:rPr>
      </w:pPr>
    </w:p>
    <w:p>
      <w:pPr>
        <w:sectPr>
          <w:pgSz w:w="11900" w:h="16838" w:orient="portrait"/>
          <w:cols w:equalWidth="0" w:num="2">
            <w:col w:w="1100" w:space="60"/>
            <w:col w:w="10060"/>
          </w:cols>
          <w:pgMar w:left="320" w:top="108" w:right="359" w:bottom="0" w:gutter="0" w:footer="0" w:header="0"/>
          <w:type w:val="continuous"/>
        </w:sectPr>
      </w:pPr>
    </w:p>
    <w:p>
      <w:pPr>
        <w:spacing w:after="0" w:line="70" w:lineRule="exact"/>
        <w:rPr>
          <w:sz w:val="20"/>
          <w:szCs w:val="20"/>
          <w:color w:val="auto"/>
        </w:rPr>
      </w:pPr>
    </w:p>
    <w:p>
      <w:pPr>
        <w:spacing w:after="0" w:line="237" w:lineRule="auto"/>
        <w:rPr>
          <w:sz w:val="20"/>
          <w:szCs w:val="20"/>
          <w:color w:val="auto"/>
        </w:rPr>
      </w:pPr>
      <w:r>
        <w:rPr>
          <w:rFonts w:ascii="Times New Roman" w:cs="Times New Roman" w:eastAsia="Times New Roman" w:hAnsi="Times New Roman"/>
          <w:sz w:val="22"/>
          <w:szCs w:val="22"/>
          <w:b w:val="1"/>
          <w:bCs w:val="1"/>
          <w:color w:val="auto"/>
        </w:rPr>
        <w:t xml:space="preserve">Comment for Type of Reporting Person: </w:t>
      </w:r>
      <w:r>
        <w:rPr>
          <w:rFonts w:ascii="Times New Roman" w:cs="Times New Roman" w:eastAsia="Times New Roman" w:hAnsi="Times New Roman"/>
          <w:sz w:val="22"/>
          <w:szCs w:val="22"/>
          <w:color w:val="auto"/>
        </w:rPr>
        <w:t>With respect to Row 5 through Row 9 above, G1 Execution Services, LLC, SIG</w:t>
      </w:r>
      <w:r>
        <w:rPr>
          <w:rFonts w:ascii="Times New Roman" w:cs="Times New Roman" w:eastAsia="Times New Roman" w:hAnsi="Times New Roman"/>
          <w:sz w:val="22"/>
          <w:szCs w:val="22"/>
          <w:b w:val="1"/>
          <w:bCs w:val="1"/>
          <w:color w:val="auto"/>
        </w:rPr>
        <w:t xml:space="preserve"> </w:t>
      </w:r>
      <w:r>
        <w:rPr>
          <w:rFonts w:ascii="Times New Roman" w:cs="Times New Roman" w:eastAsia="Times New Roman" w:hAnsi="Times New Roman"/>
          <w:sz w:val="22"/>
          <w:szCs w:val="22"/>
          <w:color w:val="auto"/>
        </w:rPr>
        <w:t>Brokerage, LP, Susquehanna Investment Group and Susquehanna Securities, LLC are affiliated independent broker-dealers which may be deemed a group. For purposes of this report, we have indicated that each reporting person has sole voting and dispositive power with respect to the shares beneficially owned by it and that the reporting persons have shared voting and dispositive power with respect to all shares beneficially owned by all of the reporting persons. Each of the reporting persons disclaims beneficial ownership of shares owned directly by another reporting person.</w:t>
      </w: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60"/>
        <w:spacing w:after="0"/>
        <w:rPr>
          <w:sz w:val="20"/>
          <w:szCs w:val="20"/>
          <w:color w:val="auto"/>
        </w:rPr>
      </w:pPr>
      <w:r>
        <w:rPr>
          <w:rFonts w:ascii="Times New Roman" w:cs="Times New Roman" w:eastAsia="Times New Roman" w:hAnsi="Times New Roman"/>
          <w:sz w:val="26"/>
          <w:szCs w:val="26"/>
          <w:color w:val="auto"/>
        </w:rPr>
        <w:t>SCHEDULE 13G</w:t>
      </w:r>
    </w:p>
    <w:p>
      <w:pPr>
        <w:sectPr>
          <w:pgSz w:w="11900" w:h="16838" w:orient="portrait"/>
          <w:cols w:equalWidth="0" w:num="1">
            <w:col w:w="11220"/>
          </w:cols>
          <w:pgMar w:left="320" w:top="108" w:right="359" w:bottom="0" w:gutter="0" w:footer="0" w:header="0"/>
          <w:type w:val="continuous"/>
        </w:sectPr>
      </w:pPr>
    </w:p>
    <w:p>
      <w:pPr>
        <w:spacing w:after="0" w:line="299"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1"/>
          <w:szCs w:val="21"/>
          <w:color w:val="auto"/>
        </w:rPr>
        <w:t>Item 1.</w:t>
      </w:r>
    </w:p>
    <w:p>
      <w:pPr>
        <w:sectPr>
          <w:pgSz w:w="11900" w:h="16838" w:orient="portrait"/>
          <w:cols w:equalWidth="0" w:num="1">
            <w:col w:w="11220"/>
          </w:cols>
          <w:pgMar w:left="320" w:top="108" w:right="359" w:bottom="0" w:gutter="0" w:footer="0" w:header="0"/>
          <w:type w:val="continuous"/>
        </w:sectPr>
      </w:pPr>
    </w:p>
    <w:bookmarkStart w:id="4" w:name="page5"/>
    <w:bookmarkEnd w:id="4"/>
    <w:p>
      <w:pPr>
        <w:spacing w:after="0" w:line="97" w:lineRule="exact"/>
        <w:rPr>
          <w:sz w:val="20"/>
          <w:szCs w:val="20"/>
          <w:color w:val="auto"/>
        </w:rPr>
      </w:pPr>
    </w:p>
    <w:p>
      <w:pPr>
        <w:ind w:left="920" w:right="7760" w:hanging="912"/>
        <w:spacing w:after="0" w:line="389" w:lineRule="auto"/>
        <w:tabs>
          <w:tab w:leader="none" w:pos="920" w:val="left"/>
        </w:tabs>
        <w:numPr>
          <w:ilvl w:val="0"/>
          <w:numId w:val="8"/>
        </w:numPr>
        <w:rPr>
          <w:rFonts w:ascii="Times New Roman" w:cs="Times New Roman" w:eastAsia="Times New Roman" w:hAnsi="Times New Roman"/>
          <w:sz w:val="21"/>
          <w:szCs w:val="21"/>
          <w:color w:val="auto"/>
        </w:rPr>
      </w:pPr>
      <w:r>
        <w:rPr>
          <w:rFonts w:ascii="Times New Roman" w:cs="Times New Roman" w:eastAsia="Times New Roman" w:hAnsi="Times New Roman"/>
          <w:sz w:val="21"/>
          <w:szCs w:val="21"/>
          <w:color w:val="auto"/>
        </w:rPr>
        <w:t>Name of issuer: MicroStrategy Incorporated</w:t>
      </w:r>
    </w:p>
    <w:p>
      <w:pPr>
        <w:spacing w:after="0" w:line="1"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Address of issuer's principal executive offices:</w:t>
      </w:r>
    </w:p>
    <w:p>
      <w:pPr>
        <w:spacing w:after="0" w:line="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(b)</w:t>
      </w:r>
    </w:p>
    <w:p>
      <w:pPr>
        <w:ind w:left="920"/>
        <w:spacing w:after="0"/>
        <w:rPr>
          <w:sz w:val="20"/>
          <w:szCs w:val="20"/>
          <w:color w:val="auto"/>
        </w:rPr>
      </w:pPr>
      <w:r>
        <w:rPr>
          <w:rFonts w:ascii="Times New Roman" w:cs="Times New Roman" w:eastAsia="Times New Roman" w:hAnsi="Times New Roman"/>
          <w:sz w:val="22"/>
          <w:szCs w:val="22"/>
          <w:color w:val="auto"/>
        </w:rPr>
        <w:t>1850 Towers Crescent Plaza, Tysons Corner, Virginia 22182</w:t>
      </w:r>
    </w:p>
    <w:p>
      <w:pPr>
        <w:spacing w:after="0" w:line="20"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2.</w:t>
      </w:r>
    </w:p>
    <w:p>
      <w:pPr>
        <w:spacing w:after="0" w:line="44"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Name of person filing:</w:t>
      </w:r>
    </w:p>
    <w:p>
      <w:pPr>
        <w:spacing w:after="0" w:line="233" w:lineRule="exact"/>
        <w:rPr>
          <w:sz w:val="20"/>
          <w:szCs w:val="20"/>
          <w:color w:val="auto"/>
        </w:rPr>
      </w:pPr>
    </w:p>
    <w:p>
      <w:pPr>
        <w:ind w:left="920" w:hanging="912"/>
        <w:spacing w:after="0" w:line="193" w:lineRule="auto"/>
        <w:tabs>
          <w:tab w:leader="none" w:pos="920" w:val="left"/>
        </w:tabs>
        <w:numPr>
          <w:ilvl w:val="0"/>
          <w:numId w:val="9"/>
        </w:numPr>
        <w:rPr>
          <w:rFonts w:ascii="Times New Roman" w:cs="Times New Roman" w:eastAsia="Times New Roman" w:hAnsi="Times New Roman"/>
          <w:sz w:val="43"/>
          <w:szCs w:val="43"/>
          <w:color w:val="auto"/>
          <w:vertAlign w:val="subscript"/>
        </w:rPr>
      </w:pPr>
      <w:r>
        <w:rPr>
          <w:rFonts w:ascii="Times New Roman" w:cs="Times New Roman" w:eastAsia="Times New Roman" w:hAnsi="Times New Roman"/>
          <w:sz w:val="22"/>
          <w:szCs w:val="22"/>
          <w:color w:val="auto"/>
        </w:rPr>
        <w:t>This statement is filed by the entities listed below, who are collectively referred to herein as "Reporting Persons" with respect to the shares of Class A Common Stock, par value $0.001 per share (the "Shares"), of MicroStrategy Incorporated (the "Company"). (i) G1 Execution Services, LLC (ii) SIG Brokerage, LP (iii) Susquehanna Investment Group (iv) Susquehanna Securities, LLC</w:t>
      </w:r>
    </w:p>
    <w:p>
      <w:pPr>
        <w:spacing w:after="0" w:line="18" w:lineRule="exact"/>
        <w:rPr>
          <w:rFonts w:ascii="Times New Roman" w:cs="Times New Roman" w:eastAsia="Times New Roman" w:hAnsi="Times New Roman"/>
          <w:sz w:val="43"/>
          <w:szCs w:val="43"/>
          <w:color w:val="auto"/>
          <w:vertAlign w:val="subscript"/>
        </w:rPr>
      </w:pPr>
    </w:p>
    <w:p>
      <w:pPr>
        <w:ind w:left="920"/>
        <w:spacing w:after="0"/>
        <w:rPr>
          <w:rFonts w:ascii="Times New Roman" w:cs="Times New Roman" w:eastAsia="Times New Roman" w:hAnsi="Times New Roman"/>
          <w:sz w:val="43"/>
          <w:szCs w:val="43"/>
          <w:color w:val="auto"/>
          <w:vertAlign w:val="subscript"/>
        </w:rPr>
      </w:pPr>
      <w:r>
        <w:rPr>
          <w:rFonts w:ascii="Times New Roman" w:cs="Times New Roman" w:eastAsia="Times New Roman" w:hAnsi="Times New Roman"/>
          <w:sz w:val="22"/>
          <w:szCs w:val="22"/>
          <w:color w:val="auto"/>
        </w:rPr>
        <w:t>Address or principal business office or, if none, residence:</w:t>
      </w:r>
    </w:p>
    <w:p>
      <w:pPr>
        <w:spacing w:after="0" w:line="233" w:lineRule="exact"/>
        <w:rPr>
          <w:rFonts w:ascii="Times New Roman" w:cs="Times New Roman" w:eastAsia="Times New Roman" w:hAnsi="Times New Roman"/>
          <w:sz w:val="43"/>
          <w:szCs w:val="43"/>
          <w:color w:val="auto"/>
          <w:vertAlign w:val="subscript"/>
        </w:rPr>
      </w:pPr>
    </w:p>
    <w:p>
      <w:pPr>
        <w:ind w:left="920" w:right="460" w:hanging="912"/>
        <w:spacing w:after="0" w:line="256" w:lineRule="auto"/>
        <w:tabs>
          <w:tab w:leader="none" w:pos="920" w:val="left"/>
        </w:tabs>
        <w:numPr>
          <w:ilvl w:val="0"/>
          <w:numId w:val="9"/>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The address of the principal business office of G1 Execution Services, LLC is: 175 W. Jackson Blvd. Suite 1700 Chicago, IL 60604 The address of the principal business office of each of SIG Brokerage, LP, Susquehanna Investment Group and Susquehanna Securities, LLC is: 401 E. City Avenue Suite 220 Bala Cynwyd, PA 19004 Citizenship:</w:t>
      </w:r>
    </w:p>
    <w:p>
      <w:pPr>
        <w:spacing w:after="0" w:line="189" w:lineRule="exact"/>
        <w:rPr>
          <w:rFonts w:ascii="Times New Roman" w:cs="Times New Roman" w:eastAsia="Times New Roman" w:hAnsi="Times New Roman"/>
          <w:sz w:val="22"/>
          <w:szCs w:val="22"/>
          <w:color w:val="auto"/>
        </w:rPr>
      </w:pPr>
    </w:p>
    <w:p>
      <w:pPr>
        <w:ind w:left="920" w:right="340" w:hanging="912"/>
        <w:spacing w:after="0" w:line="185" w:lineRule="auto"/>
        <w:tabs>
          <w:tab w:leader="none" w:pos="920" w:val="left"/>
        </w:tabs>
        <w:numPr>
          <w:ilvl w:val="0"/>
          <w:numId w:val="9"/>
        </w:numPr>
        <w:rPr>
          <w:rFonts w:ascii="Times New Roman" w:cs="Times New Roman" w:eastAsia="Times New Roman" w:hAnsi="Times New Roman"/>
          <w:sz w:val="39"/>
          <w:szCs w:val="39"/>
          <w:color w:val="auto"/>
          <w:vertAlign w:val="superscript"/>
        </w:rPr>
      </w:pPr>
      <w:r>
        <w:rPr>
          <w:rFonts w:ascii="Times New Roman" w:cs="Times New Roman" w:eastAsia="Times New Roman" w:hAnsi="Times New Roman"/>
          <w:sz w:val="20"/>
          <w:szCs w:val="20"/>
          <w:color w:val="auto"/>
        </w:rPr>
        <w:t>Citizenship is set forth in Row 4 of the cover page for each Reporting Person hereto and is incorporated herein by reference for each such Reporting Person.</w:t>
      </w:r>
    </w:p>
    <w:p>
      <w:pPr>
        <w:spacing w:after="0" w:line="17"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Title of class of securities:</w:t>
      </w:r>
    </w:p>
    <w:p>
      <w:pPr>
        <w:spacing w:after="0" w:line="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(d)</w:t>
      </w:r>
    </w:p>
    <w:p>
      <w:pPr>
        <w:ind w:left="920"/>
        <w:spacing w:after="0"/>
        <w:rPr>
          <w:sz w:val="20"/>
          <w:szCs w:val="20"/>
          <w:color w:val="auto"/>
        </w:rPr>
      </w:pPr>
      <w:r>
        <w:rPr>
          <w:rFonts w:ascii="Times New Roman" w:cs="Times New Roman" w:eastAsia="Times New Roman" w:hAnsi="Times New Roman"/>
          <w:sz w:val="22"/>
          <w:szCs w:val="22"/>
          <w:color w:val="auto"/>
        </w:rPr>
        <w:t>Class A Common Stock, par value $0.001 per share</w:t>
      </w:r>
    </w:p>
    <w:p>
      <w:pPr>
        <w:spacing w:after="0" w:line="20"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CUSIP No.:</w:t>
      </w:r>
    </w:p>
    <w:p>
      <w:pPr>
        <w:spacing w:after="0" w:line="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(e)</w:t>
      </w:r>
    </w:p>
    <w:p>
      <w:pPr>
        <w:ind w:left="920"/>
        <w:spacing w:after="0"/>
        <w:rPr>
          <w:sz w:val="20"/>
          <w:szCs w:val="20"/>
          <w:color w:val="auto"/>
        </w:rPr>
      </w:pPr>
      <w:r>
        <w:rPr>
          <w:rFonts w:ascii="Times New Roman" w:cs="Times New Roman" w:eastAsia="Times New Roman" w:hAnsi="Times New Roman"/>
          <w:sz w:val="22"/>
          <w:szCs w:val="22"/>
          <w:color w:val="auto"/>
        </w:rPr>
        <w:t>594972408</w:t>
      </w:r>
    </w:p>
    <w:p>
      <w:pPr>
        <w:spacing w:after="0" w:line="20" w:lineRule="exact"/>
        <w:rPr>
          <w:sz w:val="20"/>
          <w:szCs w:val="20"/>
          <w:color w:val="auto"/>
        </w:rPr>
      </w:pPr>
    </w:p>
    <w:p>
      <w:pPr>
        <w:spacing w:after="0"/>
        <w:tabs>
          <w:tab w:leader="none" w:pos="900" w:val="left"/>
        </w:tabs>
        <w:rPr>
          <w:sz w:val="20"/>
          <w:szCs w:val="20"/>
          <w:color w:val="auto"/>
        </w:rPr>
      </w:pPr>
      <w:r>
        <w:rPr>
          <w:rFonts w:ascii="Times New Roman" w:cs="Times New Roman" w:eastAsia="Times New Roman" w:hAnsi="Times New Roman"/>
          <w:sz w:val="22"/>
          <w:szCs w:val="22"/>
          <w:color w:val="auto"/>
        </w:rPr>
        <w:t>Item 3.</w:t>
      </w:r>
      <w:r>
        <w:rPr>
          <w:sz w:val="20"/>
          <w:szCs w:val="20"/>
          <w:color w:val="auto"/>
        </w:rPr>
        <w:tab/>
      </w:r>
      <w:r>
        <w:rPr>
          <w:rFonts w:ascii="Times New Roman" w:cs="Times New Roman" w:eastAsia="Times New Roman" w:hAnsi="Times New Roman"/>
          <w:sz w:val="21"/>
          <w:szCs w:val="21"/>
          <w:color w:val="auto"/>
        </w:rPr>
        <w:t>If this statement is filed pursuant to §§ 240.13d-1(b) or 240.13d-2(b) or (c), check whether the person filing is a:</w:t>
      </w:r>
    </w:p>
    <w:p>
      <w:pPr>
        <w:spacing w:after="0" w:line="58" w:lineRule="exact"/>
        <w:rPr>
          <w:sz w:val="20"/>
          <w:szCs w:val="20"/>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Broker or dealer registered under section 15 of the Act (15 U.S.C. 78o);</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Bank as defined in section 3(a)(6) of the Act (15 U.S.C. 78c);</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Insurance company as defined in section 3(a)(19) of the Act (15 U.S.C. 78c);</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Investment company registered under section 8 of the Investment Company Act of 1940 (15 U.S.C. 80a-8);</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An investment adviser in accordance with § 240.13d-1(b)(1)(ii)(E);</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An employee benefit plan or endowment fund in accordance with § 240.13d-1(b)(1)(ii)(F);</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 parent holding company or control person in accordance with § 240.13d-1(b)(1)(ii)(G);</w:t>
      </w:r>
    </w:p>
    <w:p>
      <w:pPr>
        <w:spacing w:after="0" w:line="57" w:lineRule="exact"/>
        <w:rPr>
          <w:rFonts w:ascii="Times New Roman" w:cs="Times New Roman" w:eastAsia="Times New Roman" w:hAnsi="Times New Roman"/>
          <w:sz w:val="22"/>
          <w:szCs w:val="22"/>
          <w:color w:val="auto"/>
        </w:rPr>
      </w:pPr>
    </w:p>
    <w:p>
      <w:pPr>
        <w:ind w:left="920" w:hanging="912"/>
        <w:spacing w:after="0"/>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 savings associations as defined in Section 3(b) of the Federal Deposit Insurance Act (12 U.S.C. 1813);</w:t>
      </w:r>
    </w:p>
    <w:p>
      <w:pPr>
        <w:spacing w:after="0" w:line="57" w:lineRule="exact"/>
        <w:rPr>
          <w:rFonts w:ascii="Times New Roman" w:cs="Times New Roman" w:eastAsia="Times New Roman" w:hAnsi="Times New Roman"/>
          <w:sz w:val="22"/>
          <w:szCs w:val="22"/>
          <w:color w:val="auto"/>
        </w:rPr>
      </w:pPr>
    </w:p>
    <w:p>
      <w:pPr>
        <w:ind w:left="920" w:right="640" w:hanging="912"/>
        <w:spacing w:after="0" w:line="185" w:lineRule="auto"/>
        <w:tabs>
          <w:tab w:leader="none" w:pos="920" w:val="left"/>
        </w:tabs>
        <w:numPr>
          <w:ilvl w:val="0"/>
          <w:numId w:val="10"/>
        </w:numPr>
        <w:rPr>
          <w:rFonts w:ascii="Times New Roman" w:cs="Times New Roman" w:eastAsia="Times New Roman" w:hAnsi="Times New Roman"/>
          <w:sz w:val="39"/>
          <w:szCs w:val="39"/>
          <w:color w:val="auto"/>
          <w:vertAlign w:val="subscript"/>
        </w:rPr>
      </w:pPr>
      <w:r>
        <w:rPr>
          <w:sz w:val="1"/>
          <w:szCs w:val="1"/>
          <w:color w:val="auto"/>
        </w:rPr>
        <w:drawing>
          <wp:inline distT="0" distB="0" distL="0" distR="0">
            <wp:extent cx="128905" cy="1289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0"/>
          <w:szCs w:val="20"/>
          <w:color w:val="auto"/>
        </w:rPr>
        <w:t xml:space="preserve"> A church plan that is excluded from the definition of an investment company under section 3(c)(14) of the Investment Company Act of 1940 (15 U.S.C. 80a-3);</w:t>
      </w:r>
    </w:p>
    <w:p>
      <w:pPr>
        <w:spacing w:after="0" w:line="30" w:lineRule="exact"/>
        <w:rPr>
          <w:rFonts w:ascii="Times New Roman" w:cs="Times New Roman" w:eastAsia="Times New Roman" w:hAnsi="Times New Roman"/>
          <w:sz w:val="39"/>
          <w:szCs w:val="39"/>
          <w:color w:val="auto"/>
          <w:vertAlign w:val="subscript"/>
        </w:rPr>
      </w:pPr>
    </w:p>
    <w:p>
      <w:pPr>
        <w:ind w:left="920"/>
        <w:spacing w:after="0"/>
        <w:rPr>
          <w:rFonts w:ascii="Times New Roman" w:cs="Times New Roman" w:eastAsia="Times New Roman" w:hAnsi="Times New Roman"/>
          <w:sz w:val="39"/>
          <w:szCs w:val="39"/>
          <w:color w:val="auto"/>
          <w:vertAlign w:val="subscript"/>
        </w:rPr>
      </w:pPr>
      <w:r>
        <w:rPr>
          <w:rFonts w:ascii="Times New Roman" w:cs="Times New Roman" w:eastAsia="Times New Roman" w:hAnsi="Times New Roman"/>
          <w:sz w:val="1"/>
          <w:szCs w:val="1"/>
          <w:color w:val="auto"/>
          <w:vertAlign w:val="subscript"/>
        </w:rPr>
        <w:drawing>
          <wp:inline distT="0" distB="0" distL="0" distR="0">
            <wp:extent cx="128905" cy="1289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A non-U.S. institution in accordance with § 240.13d-1(b)(1)(ii)(J). If filing as a non-U.S. institution in</w:t>
      </w:r>
    </w:p>
    <w:p>
      <w:pPr>
        <w:spacing w:after="0" w:line="14" w:lineRule="exact"/>
        <w:rPr>
          <w:rFonts w:ascii="Times New Roman" w:cs="Times New Roman" w:eastAsia="Times New Roman" w:hAnsi="Times New Roman"/>
          <w:sz w:val="39"/>
          <w:szCs w:val="39"/>
          <w:color w:val="auto"/>
          <w:vertAlign w:val="subscript"/>
        </w:rPr>
      </w:pPr>
    </w:p>
    <w:p>
      <w:pPr>
        <w:ind w:left="920" w:hanging="912"/>
        <w:spacing w:after="0" w:line="230" w:lineRule="auto"/>
        <w:tabs>
          <w:tab w:leader="none" w:pos="920" w:val="left"/>
        </w:tabs>
        <w:numPr>
          <w:ilvl w:val="0"/>
          <w:numId w:val="10"/>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accordance with § 240.13d-1(b)(1)(ii)(J),</w:t>
      </w:r>
    </w:p>
    <w:p>
      <w:pPr>
        <w:spacing w:after="0" w:line="1" w:lineRule="exact"/>
        <w:rPr>
          <w:sz w:val="20"/>
          <w:szCs w:val="20"/>
          <w:color w:val="auto"/>
        </w:rPr>
      </w:pPr>
    </w:p>
    <w:p>
      <w:pPr>
        <w:ind w:left="1300"/>
        <w:spacing w:after="0"/>
        <w:rPr>
          <w:sz w:val="20"/>
          <w:szCs w:val="20"/>
          <w:color w:val="auto"/>
        </w:rPr>
      </w:pPr>
      <w:r>
        <w:rPr>
          <w:rFonts w:ascii="Times New Roman" w:cs="Times New Roman" w:eastAsia="Times New Roman" w:hAnsi="Times New Roman"/>
          <w:sz w:val="22"/>
          <w:szCs w:val="22"/>
          <w:color w:val="auto"/>
        </w:rPr>
        <w:t>please specify the type of institution:</w:t>
      </w:r>
    </w:p>
    <w:p>
      <w:pPr>
        <w:spacing w:after="0" w:line="34" w:lineRule="exact"/>
        <w:rPr>
          <w:sz w:val="20"/>
          <w:szCs w:val="20"/>
          <w:color w:val="auto"/>
        </w:rPr>
      </w:pPr>
    </w:p>
    <w:p>
      <w:pPr>
        <w:ind w:left="920" w:hanging="912"/>
        <w:spacing w:after="0"/>
        <w:tabs>
          <w:tab w:leader="none" w:pos="920" w:val="left"/>
        </w:tabs>
        <w:numPr>
          <w:ilvl w:val="0"/>
          <w:numId w:val="11"/>
        </w:numPr>
        <w:rPr>
          <w:rFonts w:ascii="Times New Roman" w:cs="Times New Roman" w:eastAsia="Times New Roman" w:hAnsi="Times New Roman"/>
          <w:sz w:val="22"/>
          <w:szCs w:val="22"/>
          <w:color w:val="auto"/>
        </w:rPr>
      </w:pPr>
      <w:r>
        <w:rPr>
          <w:rFonts w:ascii="Times New Roman" w:cs="Times New Roman" w:eastAsia="Times New Roman" w:hAnsi="Times New Roman"/>
          <w:sz w:val="1"/>
          <w:szCs w:val="1"/>
          <w:color w:val="auto"/>
        </w:rPr>
        <w:drawing>
          <wp:inline distT="0" distB="0" distL="0" distR="0">
            <wp:extent cx="128905" cy="1289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Group, in accordance with Rule 240.13d-1(b)(1)(ii)(K).</w:t>
      </w:r>
    </w:p>
    <w:p>
      <w:pPr>
        <w:spacing w:after="0" w:line="341" w:lineRule="exact"/>
        <w:rPr>
          <w:sz w:val="20"/>
          <w:szCs w:val="20"/>
          <w:color w:val="auto"/>
        </w:rPr>
      </w:pPr>
    </w:p>
    <w:p>
      <w:pPr>
        <w:spacing w:after="0"/>
        <w:tabs>
          <w:tab w:leader="none" w:pos="900" w:val="left"/>
        </w:tabs>
        <w:rPr>
          <w:sz w:val="20"/>
          <w:szCs w:val="20"/>
          <w:color w:val="auto"/>
        </w:rPr>
      </w:pPr>
      <w:r>
        <w:rPr>
          <w:rFonts w:ascii="Times New Roman" w:cs="Times New Roman" w:eastAsia="Times New Roman" w:hAnsi="Times New Roman"/>
          <w:sz w:val="22"/>
          <w:szCs w:val="22"/>
          <w:color w:val="auto"/>
        </w:rPr>
        <w:t>Item 4.</w:t>
      </w:r>
      <w:r>
        <w:rPr>
          <w:sz w:val="20"/>
          <w:szCs w:val="20"/>
          <w:color w:val="auto"/>
        </w:rPr>
        <w:tab/>
      </w:r>
      <w:r>
        <w:rPr>
          <w:rFonts w:ascii="Times New Roman" w:cs="Times New Roman" w:eastAsia="Times New Roman" w:hAnsi="Times New Roman"/>
          <w:sz w:val="21"/>
          <w:szCs w:val="21"/>
          <w:color w:val="auto"/>
        </w:rPr>
        <w:t>Ownership</w:t>
      </w:r>
    </w:p>
    <w:p>
      <w:pPr>
        <w:spacing w:after="0" w:line="44"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Amount beneficially owned:</w:t>
      </w:r>
    </w:p>
    <w:p>
      <w:pPr>
        <w:spacing w:after="0" w:line="233" w:lineRule="exact"/>
        <w:rPr>
          <w:sz w:val="20"/>
          <w:szCs w:val="20"/>
          <w:color w:val="auto"/>
        </w:rPr>
      </w:pPr>
    </w:p>
    <w:p>
      <w:pPr>
        <w:ind w:left="920" w:right="240"/>
        <w:spacing w:after="0" w:line="253" w:lineRule="auto"/>
        <w:rPr>
          <w:sz w:val="20"/>
          <w:szCs w:val="20"/>
          <w:color w:val="auto"/>
        </w:rPr>
      </w:pPr>
      <w:r>
        <w:rPr>
          <w:rFonts w:ascii="Times New Roman" w:cs="Times New Roman" w:eastAsia="Times New Roman" w:hAnsi="Times New Roman"/>
          <w:sz w:val="21"/>
          <w:szCs w:val="21"/>
          <w:color w:val="auto"/>
        </w:rPr>
        <w:t>The information required by this Item 4(a) is set forth in Row 9 of the cover page for each Reporting Person hereto and is incorporated herein by reference for each such Reporting Person. The number of Shares reported as</w:t>
      </w:r>
    </w:p>
    <w:p>
      <w:pPr>
        <w:spacing w:after="0" w:line="1" w:lineRule="exact"/>
        <w:rPr>
          <w:sz w:val="20"/>
          <w:szCs w:val="20"/>
          <w:color w:val="auto"/>
        </w:rPr>
      </w:pPr>
    </w:p>
    <w:p>
      <w:pPr>
        <w:ind w:left="920" w:right="80" w:hanging="912"/>
        <w:spacing w:after="0" w:line="233" w:lineRule="auto"/>
        <w:tabs>
          <w:tab w:leader="none" w:pos="920" w:val="left"/>
        </w:tabs>
        <w:numPr>
          <w:ilvl w:val="0"/>
          <w:numId w:val="12"/>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beneficially owned by SIG Brokerage, LP consists of options to buy 3,200 Shares. The number of Shares reported as beneficially owned by Susquehanna Investment Group consists of options to buy 57,000 Shares. The number of Shares reported as beneficially owned by Susquehanna Securities, LLC includes options to buy 10,490,600 Shares. The Company's Current Report on Form 8-K, filed on December 30, 2024, indicates that there were 225,819,000 Shares outstanding as of December 29, 2024.</w:t>
      </w:r>
    </w:p>
    <w:p>
      <w:pPr>
        <w:spacing w:after="0" w:line="17" w:lineRule="exact"/>
        <w:rPr>
          <w:sz w:val="20"/>
          <w:szCs w:val="20"/>
          <w:color w:val="auto"/>
        </w:rPr>
      </w:pPr>
    </w:p>
    <w:p>
      <w:pPr>
        <w:ind w:left="920"/>
        <w:spacing w:after="0"/>
        <w:rPr>
          <w:sz w:val="20"/>
          <w:szCs w:val="20"/>
          <w:color w:val="auto"/>
        </w:rPr>
      </w:pPr>
      <w:r>
        <w:rPr>
          <w:rFonts w:ascii="Times New Roman" w:cs="Times New Roman" w:eastAsia="Times New Roman" w:hAnsi="Times New Roman"/>
          <w:sz w:val="22"/>
          <w:szCs w:val="22"/>
          <w:color w:val="auto"/>
        </w:rPr>
        <w:t>Percent of class:</w:t>
      </w:r>
    </w:p>
    <w:p>
      <w:pPr>
        <w:spacing w:after="0" w:line="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(b)</w:t>
      </w:r>
    </w:p>
    <w:p>
      <w:pPr>
        <w:ind w:left="920"/>
        <w:spacing w:after="0"/>
        <w:rPr>
          <w:sz w:val="20"/>
          <w:szCs w:val="20"/>
          <w:color w:val="auto"/>
        </w:rPr>
      </w:pPr>
      <w:r>
        <w:rPr>
          <w:rFonts w:ascii="Times New Roman" w:cs="Times New Roman" w:eastAsia="Times New Roman" w:hAnsi="Times New Roman"/>
          <w:sz w:val="22"/>
          <w:szCs w:val="22"/>
          <w:color w:val="auto"/>
        </w:rPr>
        <w:t>5.1 %</w:t>
      </w:r>
    </w:p>
    <w:p>
      <w:pPr>
        <w:spacing w:after="0" w:line="20" w:lineRule="exact"/>
        <w:rPr>
          <w:sz w:val="20"/>
          <w:szCs w:val="20"/>
          <w:color w:val="auto"/>
        </w:rPr>
      </w:pPr>
    </w:p>
    <w:p>
      <w:pPr>
        <w:ind w:left="920" w:hanging="912"/>
        <w:spacing w:after="0"/>
        <w:tabs>
          <w:tab w:leader="none" w:pos="920" w:val="left"/>
        </w:tabs>
        <w:numPr>
          <w:ilvl w:val="0"/>
          <w:numId w:val="13"/>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Number of shares as to which the person has:</w:t>
      </w:r>
    </w:p>
    <w:p>
      <w:pPr>
        <w:spacing w:after="0" w:line="44" w:lineRule="exact"/>
        <w:rPr>
          <w:rFonts w:ascii="Times New Roman" w:cs="Times New Roman" w:eastAsia="Times New Roman" w:hAnsi="Times New Roman"/>
          <w:sz w:val="22"/>
          <w:szCs w:val="22"/>
          <w:color w:val="auto"/>
        </w:rPr>
      </w:pPr>
    </w:p>
    <w:p>
      <w:pPr>
        <w:ind w:left="920"/>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(i) Sole power to vote or to direct the vote:</w:t>
      </w:r>
    </w:p>
    <w:p>
      <w:pPr>
        <w:spacing w:after="0" w:line="233" w:lineRule="exact"/>
        <w:rPr>
          <w:sz w:val="20"/>
          <w:szCs w:val="20"/>
          <w:color w:val="auto"/>
        </w:rPr>
      </w:pPr>
    </w:p>
    <w:p>
      <w:pPr>
        <w:ind w:left="920" w:right="20"/>
        <w:spacing w:after="0" w:line="258" w:lineRule="auto"/>
        <w:rPr>
          <w:sz w:val="20"/>
          <w:szCs w:val="20"/>
          <w:color w:val="auto"/>
        </w:rPr>
      </w:pPr>
      <w:r>
        <w:rPr>
          <w:rFonts w:ascii="Times New Roman" w:cs="Times New Roman" w:eastAsia="Times New Roman" w:hAnsi="Times New Roman"/>
          <w:sz w:val="22"/>
          <w:szCs w:val="22"/>
          <w:color w:val="auto"/>
        </w:rPr>
        <w:t>The information required by this Item 4(c)(i) is set forth in Row 5 of the cover page for each Reporting Person hereto and is incorporated herein by reference for each such Reporting Person.</w:t>
      </w:r>
    </w:p>
    <w:p>
      <w:pPr>
        <w:sectPr>
          <w:pgSz w:w="11900" w:h="16935" w:orient="portrait"/>
          <w:cols w:equalWidth="0" w:num="1">
            <w:col w:w="11100"/>
          </w:cols>
          <w:pgMar w:left="360" w:top="112" w:right="439" w:bottom="0" w:gutter="0" w:footer="0" w:header="0"/>
        </w:sectPr>
      </w:pPr>
    </w:p>
    <w:bookmarkStart w:id="5" w:name="page6"/>
    <w:bookmarkEnd w:id="5"/>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5.</w:t>
      </w:r>
    </w:p>
    <w:p>
      <w:pPr>
        <w:spacing w:after="0" w:line="34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6.</w:t>
      </w:r>
    </w:p>
    <w:p>
      <w:pPr>
        <w:spacing w:after="0" w:line="200" w:lineRule="exact"/>
        <w:rPr>
          <w:sz w:val="20"/>
          <w:szCs w:val="20"/>
          <w:color w:val="auto"/>
        </w:rPr>
      </w:pPr>
    </w:p>
    <w:p>
      <w:pPr>
        <w:spacing w:after="0" w:line="26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7.</w:t>
      </w:r>
    </w:p>
    <w:p>
      <w:pPr>
        <w:spacing w:after="0" w:line="200" w:lineRule="exact"/>
        <w:rPr>
          <w:sz w:val="20"/>
          <w:szCs w:val="20"/>
          <w:color w:val="auto"/>
        </w:rPr>
      </w:pPr>
    </w:p>
    <w:p>
      <w:pPr>
        <w:spacing w:after="0" w:line="26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8.</w:t>
      </w:r>
    </w:p>
    <w:p>
      <w:pPr>
        <w:spacing w:after="0" w:line="34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Item 9.</w:t>
      </w:r>
    </w:p>
    <w:p>
      <w:pPr>
        <w:spacing w:after="0" w:line="200" w:lineRule="exact"/>
        <w:rPr>
          <w:sz w:val="20"/>
          <w:szCs w:val="20"/>
          <w:color w:val="auto"/>
        </w:rPr>
      </w:pPr>
    </w:p>
    <w:p>
      <w:pPr>
        <w:spacing w:after="0" w:line="200" w:lineRule="exact"/>
        <w:rPr>
          <w:sz w:val="20"/>
          <w:szCs w:val="20"/>
          <w:color w:val="auto"/>
        </w:rPr>
      </w:pPr>
    </w:p>
    <w:p>
      <w:pPr>
        <w:spacing w:after="0" w:line="211"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Item 10.</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22"/>
          <w:szCs w:val="22"/>
          <w:color w:val="auto"/>
        </w:rPr>
        <w:t>(ii) Shared power to vote or to direct the vote:</w:t>
      </w:r>
    </w:p>
    <w:p>
      <w:pPr>
        <w:spacing w:after="0" w:line="23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The information required by this Item 4(c)(ii) is set forth in Row 6 of the cover page for each Reporting Person hereto and is incorporated herein by reference for each such Reporting Person.</w:t>
      </w:r>
    </w:p>
    <w:p>
      <w:pPr>
        <w:spacing w:after="0" w:line="239"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(iii) Sole power to dispose or to direct the disposition of:</w:t>
      </w:r>
    </w:p>
    <w:p>
      <w:pPr>
        <w:spacing w:after="0" w:line="233" w:lineRule="exact"/>
        <w:rPr>
          <w:sz w:val="20"/>
          <w:szCs w:val="20"/>
          <w:color w:val="auto"/>
        </w:rPr>
      </w:pPr>
    </w:p>
    <w:p>
      <w:pPr>
        <w:ind w:right="540"/>
        <w:spacing w:after="0" w:line="258" w:lineRule="auto"/>
        <w:rPr>
          <w:sz w:val="20"/>
          <w:szCs w:val="20"/>
          <w:color w:val="auto"/>
        </w:rPr>
      </w:pPr>
      <w:r>
        <w:rPr>
          <w:rFonts w:ascii="Times New Roman" w:cs="Times New Roman" w:eastAsia="Times New Roman" w:hAnsi="Times New Roman"/>
          <w:sz w:val="22"/>
          <w:szCs w:val="22"/>
          <w:color w:val="auto"/>
        </w:rPr>
        <w:t>The information required by this Item 4(c)(iii) is set forth in Row 7 of the cover page for each Reporting Person hereto and is incorporated herein by reference for each such Reporting Person.</w:t>
      </w:r>
    </w:p>
    <w:p>
      <w:pPr>
        <w:spacing w:after="0" w:line="239"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(iv) Shared power to dispose or to direct the disposition of:</w:t>
      </w:r>
    </w:p>
    <w:p>
      <w:pPr>
        <w:spacing w:after="0" w:line="233" w:lineRule="exact"/>
        <w:rPr>
          <w:sz w:val="20"/>
          <w:szCs w:val="20"/>
          <w:color w:val="auto"/>
        </w:rPr>
      </w:pPr>
    </w:p>
    <w:p>
      <w:pPr>
        <w:ind w:right="560"/>
        <w:spacing w:after="0" w:line="258" w:lineRule="auto"/>
        <w:rPr>
          <w:sz w:val="20"/>
          <w:szCs w:val="20"/>
          <w:color w:val="auto"/>
        </w:rPr>
      </w:pPr>
      <w:r>
        <w:rPr>
          <w:rFonts w:ascii="Times New Roman" w:cs="Times New Roman" w:eastAsia="Times New Roman" w:hAnsi="Times New Roman"/>
          <w:sz w:val="22"/>
          <w:szCs w:val="22"/>
          <w:color w:val="auto"/>
        </w:rPr>
        <w:t>The information required by this Item 4(c)(iv) is set forth in Row 8 of the cover page for each Reporting Person hereto and is incorporated herein by reference for each such Reporting Person.</w:t>
      </w:r>
    </w:p>
    <w:p>
      <w:pPr>
        <w:spacing w:after="0" w:line="239"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Ownership of 5 Percent or Less of a Class.</w:t>
      </w:r>
    </w:p>
    <w:p>
      <w:pPr>
        <w:spacing w:after="0" w:line="341"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Ownership of more than 5 Percent on Behalf of Another Person.</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Not Applicable</w:t>
      </w:r>
    </w:p>
    <w:p>
      <w:pPr>
        <w:spacing w:after="0" w:line="44" w:lineRule="exact"/>
        <w:rPr>
          <w:sz w:val="20"/>
          <w:szCs w:val="20"/>
          <w:color w:val="auto"/>
        </w:rPr>
      </w:pPr>
    </w:p>
    <w:p>
      <w:pPr>
        <w:ind w:right="460"/>
        <w:spacing w:after="0" w:line="256" w:lineRule="auto"/>
        <w:rPr>
          <w:sz w:val="20"/>
          <w:szCs w:val="20"/>
          <w:color w:val="auto"/>
        </w:rPr>
      </w:pPr>
      <w:r>
        <w:rPr>
          <w:rFonts w:ascii="Times New Roman" w:cs="Times New Roman" w:eastAsia="Times New Roman" w:hAnsi="Times New Roman"/>
          <w:sz w:val="22"/>
          <w:szCs w:val="22"/>
          <w:color w:val="auto"/>
        </w:rPr>
        <w:t>Identification and Classification of the Subsidiary Which Acquired the Security Being Reported on by the Parent Holding Company or Control Person.</w:t>
      </w:r>
    </w:p>
    <w:p>
      <w:pPr>
        <w:spacing w:after="0"/>
        <w:rPr>
          <w:sz w:val="20"/>
          <w:szCs w:val="20"/>
          <w:color w:val="auto"/>
        </w:rPr>
      </w:pPr>
      <w:r>
        <w:rPr>
          <w:rFonts w:ascii="Times New Roman" w:cs="Times New Roman" w:eastAsia="Times New Roman" w:hAnsi="Times New Roman"/>
          <w:sz w:val="22"/>
          <w:szCs w:val="22"/>
          <w:color w:val="auto"/>
        </w:rPr>
        <w:t>Not Applicable</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Identification and Classification of Members of the Group.</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Not Applicable</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Notice of Dissolution of Group.</w:t>
      </w:r>
    </w:p>
    <w:p>
      <w:pPr>
        <w:spacing w:after="0" w:line="44"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Not Applicable</w:t>
      </w:r>
    </w:p>
    <w:p>
      <w:pPr>
        <w:spacing w:after="0" w:line="314" w:lineRule="exact"/>
        <w:rPr>
          <w:sz w:val="20"/>
          <w:szCs w:val="20"/>
          <w:color w:val="auto"/>
        </w:rPr>
      </w:pPr>
    </w:p>
    <w:p>
      <w:pPr>
        <w:ind w:left="20"/>
        <w:spacing w:after="0"/>
        <w:rPr>
          <w:sz w:val="20"/>
          <w:szCs w:val="20"/>
          <w:color w:val="auto"/>
        </w:rPr>
      </w:pPr>
      <w:r>
        <w:rPr>
          <w:rFonts w:ascii="Times New Roman" w:cs="Times New Roman" w:eastAsia="Times New Roman" w:hAnsi="Times New Roman"/>
          <w:sz w:val="22"/>
          <w:szCs w:val="22"/>
          <w:color w:val="auto"/>
        </w:rPr>
        <w:t>Certifications:</w:t>
      </w:r>
    </w:p>
    <w:p>
      <w:pPr>
        <w:spacing w:after="0" w:line="44" w:lineRule="exact"/>
        <w:rPr>
          <w:sz w:val="20"/>
          <w:szCs w:val="20"/>
          <w:color w:val="auto"/>
        </w:rPr>
      </w:pPr>
    </w:p>
    <w:p>
      <w:pPr>
        <w:sectPr>
          <w:pgSz w:w="11900" w:h="16838" w:orient="portrait"/>
          <w:cols w:equalWidth="0" w:num="2">
            <w:col w:w="720" w:space="200"/>
            <w:col w:w="10220"/>
          </w:cols>
          <w:pgMar w:left="360" w:top="409" w:right="399" w:bottom="0" w:gutter="0" w:footer="0" w:header="0"/>
        </w:sectPr>
      </w:pPr>
    </w:p>
    <w:p>
      <w:pPr>
        <w:ind w:left="940" w:right="40"/>
        <w:spacing w:after="0" w:line="238" w:lineRule="auto"/>
        <w:rPr>
          <w:sz w:val="20"/>
          <w:szCs w:val="20"/>
          <w:color w:val="auto"/>
        </w:rPr>
      </w:pPr>
      <w:r>
        <w:rPr>
          <w:rFonts w:ascii="Times New Roman" w:cs="Times New Roman" w:eastAsia="Times New Roman" w:hAnsi="Times New Roman"/>
          <w:sz w:val="22"/>
          <w:szCs w:val="22"/>
          <w:color w:val="auto"/>
        </w:rPr>
        <w:t>By signing below I certify that, to the best of my knowledge and belief, the securities referred to above were acquired and are held in the ordinary course of business and were not acquired and are not held for the purpose of or with the effect of changing or influencing the control of the issuer of the securities and were not acquired and are not held in connection with or as a participant in any transaction having that purpose or effect, other than activities solely in connection with a nomination under ?? 240.14a-11.</w:t>
      </w:r>
    </w:p>
    <w:p>
      <w:pPr>
        <w:spacing w:after="0" w:line="285" w:lineRule="exact"/>
        <w:rPr>
          <w:sz w:val="20"/>
          <w:szCs w:val="20"/>
          <w:color w:val="auto"/>
        </w:rPr>
      </w:pPr>
    </w:p>
    <w:p>
      <w:pPr>
        <w:ind w:left="220"/>
        <w:spacing w:after="0"/>
        <w:rPr>
          <w:sz w:val="20"/>
          <w:szCs w:val="20"/>
          <w:color w:val="auto"/>
        </w:rPr>
      </w:pPr>
      <w:r>
        <w:rPr>
          <w:rFonts w:ascii="Times New Roman" w:cs="Times New Roman" w:eastAsia="Times New Roman" w:hAnsi="Times New Roman"/>
          <w:sz w:val="22"/>
          <w:szCs w:val="22"/>
          <w:color w:val="auto"/>
        </w:rPr>
        <w:t>SIGNATURE</w:t>
      </w:r>
    </w:p>
    <w:p>
      <w:pPr>
        <w:spacing w:after="0" w:line="44" w:lineRule="exact"/>
        <w:rPr>
          <w:sz w:val="20"/>
          <w:szCs w:val="20"/>
          <w:color w:val="auto"/>
        </w:rPr>
      </w:pPr>
    </w:p>
    <w:p>
      <w:pPr>
        <w:ind w:left="1480"/>
        <w:spacing w:after="0" w:line="258" w:lineRule="auto"/>
        <w:rPr>
          <w:sz w:val="20"/>
          <w:szCs w:val="20"/>
          <w:color w:val="auto"/>
        </w:rPr>
      </w:pPr>
      <w:r>
        <w:rPr>
          <w:rFonts w:ascii="Times New Roman" w:cs="Times New Roman" w:eastAsia="Times New Roman" w:hAnsi="Times New Roman"/>
          <w:sz w:val="22"/>
          <w:szCs w:val="22"/>
          <w:color w:val="auto"/>
        </w:rPr>
        <w:t>After reasonable inquiry and to the best of my knowledge and belief, I certify that the information set forth in this statement is true, complete and correct.</w:t>
      </w:r>
    </w:p>
    <w:p>
      <w:pPr>
        <w:spacing w:after="0" w:line="307" w:lineRule="exact"/>
        <w:rPr>
          <w:sz w:val="20"/>
          <w:szCs w:val="20"/>
          <w:color w:val="auto"/>
        </w:rPr>
      </w:pPr>
    </w:p>
    <w:p>
      <w:pPr>
        <w:ind w:left="2680"/>
        <w:spacing w:after="0"/>
        <w:rPr>
          <w:sz w:val="20"/>
          <w:szCs w:val="20"/>
          <w:color w:val="auto"/>
        </w:rPr>
      </w:pPr>
      <w:r>
        <w:rPr>
          <w:rFonts w:ascii="Times New Roman" w:cs="Times New Roman" w:eastAsia="Times New Roman" w:hAnsi="Times New Roman"/>
          <w:sz w:val="22"/>
          <w:szCs w:val="22"/>
          <w:color w:val="auto"/>
        </w:rPr>
        <w:t>G1 Execution Services, LLC</w:t>
      </w:r>
    </w:p>
    <w:p>
      <w:pPr>
        <w:spacing w:after="0" w:line="152" w:lineRule="exact"/>
        <w:rPr>
          <w:sz w:val="20"/>
          <w:szCs w:val="20"/>
          <w:color w:val="auto"/>
        </w:rPr>
      </w:pPr>
    </w:p>
    <w:p>
      <w:pPr>
        <w:ind w:left="3540"/>
        <w:spacing w:after="0"/>
        <w:tabs>
          <w:tab w:leader="none" w:pos="460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1"/>
          <w:szCs w:val="21"/>
          <w:color w:val="auto"/>
        </w:rPr>
        <w:t>/s/ Brian Sopinsky</w:t>
      </w:r>
    </w:p>
    <w:p>
      <w:pPr>
        <w:spacing w:after="0" w:line="44" w:lineRule="exact"/>
        <w:rPr>
          <w:sz w:val="20"/>
          <w:szCs w:val="20"/>
          <w:color w:val="auto"/>
        </w:rPr>
      </w:pPr>
    </w:p>
    <w:p>
      <w:pPr>
        <w:ind w:left="3540"/>
        <w:spacing w:after="0"/>
        <w:rPr>
          <w:sz w:val="20"/>
          <w:szCs w:val="20"/>
          <w:color w:val="auto"/>
        </w:rPr>
      </w:pPr>
      <w:r>
        <w:rPr>
          <w:rFonts w:ascii="Times New Roman" w:cs="Times New Roman" w:eastAsia="Times New Roman" w:hAnsi="Times New Roman"/>
          <w:sz w:val="22"/>
          <w:szCs w:val="22"/>
          <w:color w:val="auto"/>
        </w:rPr>
        <w:t>Name/Title: Brian Sopinsky, Secretary</w:t>
      </w:r>
    </w:p>
    <w:p>
      <w:pPr>
        <w:spacing w:after="0" w:line="44" w:lineRule="exact"/>
        <w:rPr>
          <w:sz w:val="20"/>
          <w:szCs w:val="20"/>
          <w:color w:val="auto"/>
        </w:rPr>
      </w:pPr>
    </w:p>
    <w:p>
      <w:pPr>
        <w:ind w:left="3540"/>
        <w:spacing w:after="0"/>
        <w:tabs>
          <w:tab w:leader="none" w:pos="4600" w:val="left"/>
        </w:tabs>
        <w:rPr>
          <w:sz w:val="20"/>
          <w:szCs w:val="20"/>
          <w:color w:val="auto"/>
        </w:rPr>
      </w:pPr>
      <w:r>
        <w:rPr>
          <w:rFonts w:ascii="Times New Roman" w:cs="Times New Roman" w:eastAsia="Times New Roman" w:hAnsi="Times New Roman"/>
          <w:sz w:val="22"/>
          <w:szCs w:val="22"/>
          <w:color w:val="auto"/>
        </w:rPr>
        <w:t>Date:</w:t>
      </w:r>
      <w:r>
        <w:rPr>
          <w:sz w:val="20"/>
          <w:szCs w:val="20"/>
          <w:color w:val="auto"/>
        </w:rPr>
        <w:tab/>
      </w:r>
      <w:r>
        <w:rPr>
          <w:rFonts w:ascii="Times New Roman" w:cs="Times New Roman" w:eastAsia="Times New Roman" w:hAnsi="Times New Roman"/>
          <w:sz w:val="22"/>
          <w:szCs w:val="22"/>
          <w:color w:val="auto"/>
        </w:rPr>
        <w:t>02/06/2025</w:t>
      </w:r>
    </w:p>
    <w:p>
      <w:pPr>
        <w:spacing w:after="0" w:line="152" w:lineRule="exact"/>
        <w:rPr>
          <w:sz w:val="20"/>
          <w:szCs w:val="20"/>
          <w:color w:val="auto"/>
        </w:rPr>
      </w:pPr>
    </w:p>
    <w:p>
      <w:pPr>
        <w:ind w:left="1860"/>
        <w:spacing w:after="0"/>
        <w:rPr>
          <w:sz w:val="20"/>
          <w:szCs w:val="20"/>
          <w:color w:val="auto"/>
        </w:rPr>
      </w:pPr>
      <w:r>
        <w:rPr>
          <w:rFonts w:ascii="Times New Roman" w:cs="Times New Roman" w:eastAsia="Times New Roman" w:hAnsi="Times New Roman"/>
          <w:sz w:val="22"/>
          <w:szCs w:val="22"/>
          <w:color w:val="auto"/>
        </w:rPr>
        <w:t>SIG Brokerage, LP</w:t>
      </w:r>
    </w:p>
    <w:p>
      <w:pPr>
        <w:spacing w:after="0" w:line="152" w:lineRule="exact"/>
        <w:rPr>
          <w:sz w:val="20"/>
          <w:szCs w:val="20"/>
          <w:color w:val="auto"/>
        </w:rPr>
      </w:pPr>
    </w:p>
    <w:p>
      <w:pPr>
        <w:ind w:left="4380"/>
        <w:spacing w:after="0"/>
        <w:tabs>
          <w:tab w:leader="none" w:pos="54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1"/>
          <w:szCs w:val="21"/>
          <w:color w:val="auto"/>
        </w:rPr>
        <w:t>/s/ Brian Sopinsky</w:t>
      </w:r>
    </w:p>
    <w:p>
      <w:pPr>
        <w:spacing w:after="0" w:line="44" w:lineRule="exact"/>
        <w:rPr>
          <w:sz w:val="20"/>
          <w:szCs w:val="20"/>
          <w:color w:val="auto"/>
        </w:rPr>
      </w:pPr>
    </w:p>
    <w:p>
      <w:pPr>
        <w:ind w:left="4380"/>
        <w:spacing w:after="0"/>
        <w:rPr>
          <w:sz w:val="20"/>
          <w:szCs w:val="20"/>
          <w:color w:val="auto"/>
        </w:rPr>
      </w:pPr>
      <w:r>
        <w:rPr>
          <w:rFonts w:ascii="Times New Roman" w:cs="Times New Roman" w:eastAsia="Times New Roman" w:hAnsi="Times New Roman"/>
          <w:sz w:val="22"/>
          <w:szCs w:val="22"/>
          <w:color w:val="auto"/>
        </w:rPr>
        <w:t>Name/Title: Brian Sopinsky, Assistant Secretary</w:t>
      </w:r>
    </w:p>
    <w:p>
      <w:pPr>
        <w:spacing w:after="0" w:line="44" w:lineRule="exact"/>
        <w:rPr>
          <w:sz w:val="20"/>
          <w:szCs w:val="20"/>
          <w:color w:val="auto"/>
        </w:rPr>
      </w:pPr>
    </w:p>
    <w:p>
      <w:pPr>
        <w:ind w:left="4380"/>
        <w:spacing w:after="0"/>
        <w:tabs>
          <w:tab w:leader="none" w:pos="5460" w:val="left"/>
        </w:tabs>
        <w:rPr>
          <w:sz w:val="20"/>
          <w:szCs w:val="20"/>
          <w:color w:val="auto"/>
        </w:rPr>
      </w:pPr>
      <w:r>
        <w:rPr>
          <w:rFonts w:ascii="Times New Roman" w:cs="Times New Roman" w:eastAsia="Times New Roman" w:hAnsi="Times New Roman"/>
          <w:sz w:val="22"/>
          <w:szCs w:val="22"/>
          <w:color w:val="auto"/>
        </w:rPr>
        <w:t>Date:</w:t>
      </w:r>
      <w:r>
        <w:rPr>
          <w:sz w:val="20"/>
          <w:szCs w:val="20"/>
          <w:color w:val="auto"/>
        </w:rPr>
        <w:tab/>
      </w:r>
      <w:r>
        <w:rPr>
          <w:rFonts w:ascii="Times New Roman" w:cs="Times New Roman" w:eastAsia="Times New Roman" w:hAnsi="Times New Roman"/>
          <w:sz w:val="22"/>
          <w:szCs w:val="22"/>
          <w:color w:val="auto"/>
        </w:rPr>
        <w:t>02/06/2025</w:t>
      </w:r>
    </w:p>
    <w:p>
      <w:pPr>
        <w:spacing w:after="0" w:line="152" w:lineRule="exact"/>
        <w:rPr>
          <w:sz w:val="20"/>
          <w:szCs w:val="20"/>
          <w:color w:val="auto"/>
        </w:rPr>
      </w:pPr>
    </w:p>
    <w:p>
      <w:pPr>
        <w:ind w:left="2960"/>
        <w:spacing w:after="0"/>
        <w:rPr>
          <w:sz w:val="20"/>
          <w:szCs w:val="20"/>
          <w:color w:val="auto"/>
        </w:rPr>
      </w:pPr>
      <w:r>
        <w:rPr>
          <w:rFonts w:ascii="Times New Roman" w:cs="Times New Roman" w:eastAsia="Times New Roman" w:hAnsi="Times New Roman"/>
          <w:sz w:val="22"/>
          <w:szCs w:val="22"/>
          <w:color w:val="auto"/>
        </w:rPr>
        <w:t>Susquehanna Investment Group</w:t>
      </w:r>
    </w:p>
    <w:p>
      <w:pPr>
        <w:spacing w:after="0" w:line="152" w:lineRule="exact"/>
        <w:rPr>
          <w:sz w:val="20"/>
          <w:szCs w:val="20"/>
          <w:color w:val="auto"/>
        </w:rPr>
      </w:pPr>
    </w:p>
    <w:p>
      <w:pPr>
        <w:ind w:left="4160"/>
        <w:spacing w:after="0"/>
        <w:tabs>
          <w:tab w:leader="none" w:pos="524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1"/>
          <w:szCs w:val="21"/>
          <w:color w:val="auto"/>
        </w:rPr>
        <w:t>/s/ Brian Sopinsky</w:t>
      </w:r>
    </w:p>
    <w:p>
      <w:pPr>
        <w:spacing w:after="0" w:line="44" w:lineRule="exact"/>
        <w:rPr>
          <w:sz w:val="20"/>
          <w:szCs w:val="20"/>
          <w:color w:val="auto"/>
        </w:rPr>
      </w:pPr>
    </w:p>
    <w:p>
      <w:pPr>
        <w:ind w:left="4160"/>
        <w:spacing w:after="0"/>
        <w:rPr>
          <w:sz w:val="20"/>
          <w:szCs w:val="20"/>
          <w:color w:val="auto"/>
        </w:rPr>
      </w:pPr>
      <w:r>
        <w:rPr>
          <w:rFonts w:ascii="Times New Roman" w:cs="Times New Roman" w:eastAsia="Times New Roman" w:hAnsi="Times New Roman"/>
          <w:sz w:val="22"/>
          <w:szCs w:val="22"/>
          <w:color w:val="auto"/>
        </w:rPr>
        <w:t>Name/Title: Brian Sopinsky, General Counsel</w:t>
      </w:r>
    </w:p>
    <w:p>
      <w:pPr>
        <w:spacing w:after="0" w:line="44" w:lineRule="exact"/>
        <w:rPr>
          <w:sz w:val="20"/>
          <w:szCs w:val="20"/>
          <w:color w:val="auto"/>
        </w:rPr>
      </w:pPr>
    </w:p>
    <w:p>
      <w:pPr>
        <w:ind w:left="4160"/>
        <w:spacing w:after="0"/>
        <w:tabs>
          <w:tab w:leader="none" w:pos="5240" w:val="left"/>
        </w:tabs>
        <w:rPr>
          <w:sz w:val="20"/>
          <w:szCs w:val="20"/>
          <w:color w:val="auto"/>
        </w:rPr>
      </w:pPr>
      <w:r>
        <w:rPr>
          <w:rFonts w:ascii="Times New Roman" w:cs="Times New Roman" w:eastAsia="Times New Roman" w:hAnsi="Times New Roman"/>
          <w:sz w:val="22"/>
          <w:szCs w:val="22"/>
          <w:color w:val="auto"/>
        </w:rPr>
        <w:t>Date:</w:t>
      </w:r>
      <w:r>
        <w:rPr>
          <w:sz w:val="20"/>
          <w:szCs w:val="20"/>
          <w:color w:val="auto"/>
        </w:rPr>
        <w:tab/>
      </w:r>
      <w:r>
        <w:rPr>
          <w:rFonts w:ascii="Times New Roman" w:cs="Times New Roman" w:eastAsia="Times New Roman" w:hAnsi="Times New Roman"/>
          <w:sz w:val="22"/>
          <w:szCs w:val="22"/>
          <w:color w:val="auto"/>
        </w:rPr>
        <w:t>02/06/2025</w:t>
      </w:r>
    </w:p>
    <w:p>
      <w:pPr>
        <w:spacing w:after="0" w:line="152" w:lineRule="exact"/>
        <w:rPr>
          <w:sz w:val="20"/>
          <w:szCs w:val="20"/>
          <w:color w:val="auto"/>
        </w:rPr>
      </w:pPr>
    </w:p>
    <w:p>
      <w:pPr>
        <w:ind w:left="2740"/>
        <w:spacing w:after="0"/>
        <w:rPr>
          <w:sz w:val="20"/>
          <w:szCs w:val="20"/>
          <w:color w:val="auto"/>
        </w:rPr>
      </w:pPr>
      <w:r>
        <w:rPr>
          <w:rFonts w:ascii="Times New Roman" w:cs="Times New Roman" w:eastAsia="Times New Roman" w:hAnsi="Times New Roman"/>
          <w:sz w:val="22"/>
          <w:szCs w:val="22"/>
          <w:color w:val="auto"/>
        </w:rPr>
        <w:t>Susquehanna Securities, LLC</w:t>
      </w:r>
    </w:p>
    <w:p>
      <w:pPr>
        <w:spacing w:after="0" w:line="152" w:lineRule="exact"/>
        <w:rPr>
          <w:sz w:val="20"/>
          <w:szCs w:val="20"/>
          <w:color w:val="auto"/>
        </w:rPr>
      </w:pPr>
    </w:p>
    <w:p>
      <w:pPr>
        <w:ind w:left="3540"/>
        <w:spacing w:after="0"/>
        <w:tabs>
          <w:tab w:leader="none" w:pos="460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1"/>
          <w:szCs w:val="21"/>
          <w:color w:val="auto"/>
        </w:rPr>
        <w:t>/s/ Brian Sopinsky</w:t>
      </w:r>
    </w:p>
    <w:p>
      <w:pPr>
        <w:spacing w:after="0" w:line="44" w:lineRule="exact"/>
        <w:rPr>
          <w:sz w:val="20"/>
          <w:szCs w:val="20"/>
          <w:color w:val="auto"/>
        </w:rPr>
      </w:pPr>
    </w:p>
    <w:p>
      <w:pPr>
        <w:ind w:left="3540"/>
        <w:spacing w:after="0"/>
        <w:rPr>
          <w:sz w:val="20"/>
          <w:szCs w:val="20"/>
          <w:color w:val="auto"/>
        </w:rPr>
      </w:pPr>
      <w:r>
        <w:rPr>
          <w:rFonts w:ascii="Times New Roman" w:cs="Times New Roman" w:eastAsia="Times New Roman" w:hAnsi="Times New Roman"/>
          <w:sz w:val="22"/>
          <w:szCs w:val="22"/>
          <w:color w:val="auto"/>
        </w:rPr>
        <w:t>Name/Title: Brian Sopinsky, Secretary</w:t>
      </w:r>
    </w:p>
    <w:p>
      <w:pPr>
        <w:spacing w:after="0" w:line="44" w:lineRule="exact"/>
        <w:rPr>
          <w:sz w:val="20"/>
          <w:szCs w:val="20"/>
          <w:color w:val="auto"/>
        </w:rPr>
      </w:pPr>
    </w:p>
    <w:p>
      <w:pPr>
        <w:ind w:left="3540"/>
        <w:spacing w:after="0"/>
        <w:tabs>
          <w:tab w:leader="none" w:pos="4600" w:val="left"/>
        </w:tabs>
        <w:rPr>
          <w:sz w:val="20"/>
          <w:szCs w:val="20"/>
          <w:color w:val="auto"/>
        </w:rPr>
      </w:pPr>
      <w:r>
        <w:rPr>
          <w:rFonts w:ascii="Times New Roman" w:cs="Times New Roman" w:eastAsia="Times New Roman" w:hAnsi="Times New Roman"/>
          <w:sz w:val="22"/>
          <w:szCs w:val="22"/>
          <w:color w:val="auto"/>
        </w:rPr>
        <w:t>Date:</w:t>
      </w:r>
      <w:r>
        <w:rPr>
          <w:sz w:val="20"/>
          <w:szCs w:val="20"/>
          <w:color w:val="auto"/>
        </w:rPr>
        <w:tab/>
      </w:r>
      <w:r>
        <w:rPr>
          <w:rFonts w:ascii="Times New Roman" w:cs="Times New Roman" w:eastAsia="Times New Roman" w:hAnsi="Times New Roman"/>
          <w:sz w:val="22"/>
          <w:szCs w:val="22"/>
          <w:color w:val="auto"/>
        </w:rPr>
        <w:t>02/06/2025</w:t>
      </w:r>
    </w:p>
    <w:p>
      <w:pPr>
        <w:spacing w:after="0" w:line="108" w:lineRule="exact"/>
        <w:rPr>
          <w:sz w:val="20"/>
          <w:szCs w:val="20"/>
          <w:color w:val="auto"/>
        </w:rPr>
      </w:pPr>
    </w:p>
    <w:p>
      <w:pPr>
        <w:ind w:left="3040"/>
        <w:spacing w:after="0"/>
        <w:rPr>
          <w:sz w:val="20"/>
          <w:szCs w:val="20"/>
          <w:color w:val="auto"/>
        </w:rPr>
      </w:pPr>
      <w:r>
        <w:rPr>
          <w:rFonts w:ascii="Times New Roman" w:cs="Times New Roman" w:eastAsia="Times New Roman" w:hAnsi="Times New Roman"/>
          <w:sz w:val="22"/>
          <w:szCs w:val="22"/>
          <w:b w:val="1"/>
          <w:bCs w:val="1"/>
          <w:color w:val="auto"/>
        </w:rPr>
        <w:t>Exhibit Information</w:t>
      </w:r>
    </w:p>
    <w:p>
      <w:pPr>
        <w:sectPr>
          <w:pgSz w:w="11900" w:h="16838" w:orient="portrait"/>
          <w:cols w:equalWidth="0" w:num="1">
            <w:col w:w="11140"/>
          </w:cols>
          <w:pgMar w:left="360" w:top="409" w:right="399" w:bottom="0" w:gutter="0" w:footer="0" w:header="0"/>
          <w:type w:val="continuous"/>
        </w:sectPr>
      </w:pPr>
    </w:p>
    <w:bookmarkStart w:id="6" w:name="page7"/>
    <w:bookmarkEnd w:id="6"/>
    <w:p>
      <w:pPr>
        <w:spacing w:after="0"/>
        <w:rPr>
          <w:sz w:val="20"/>
          <w:szCs w:val="20"/>
          <w:color w:val="auto"/>
        </w:rPr>
      </w:pPr>
      <w:r>
        <w:rPr>
          <w:rFonts w:ascii="Times New Roman" w:cs="Times New Roman" w:eastAsia="Times New Roman" w:hAnsi="Times New Roman"/>
          <w:sz w:val="21"/>
          <w:szCs w:val="21"/>
          <w:color w:val="auto"/>
        </w:rPr>
        <w:t>EXHIBIT INDEX EXHIBIT DESCRIPTION ________ ________ I Joint Filing Agreement</w:t>
      </w:r>
    </w:p>
    <w:sectPr>
      <w:pgSz w:w="11900" w:h="16838" w:orient="portrait"/>
      <w:cols w:equalWidth="0" w:num="1">
        <w:col w:w="10099"/>
      </w:cols>
      <w:pgMar w:left="360" w:top="409" w:right="1440"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41B71EFB"/>
    <w:multiLevelType w:val="hybridMultilevel"/>
    <w:lvl w:ilvl="0">
      <w:lvlJc w:val="left"/>
      <w:lvlText w:val="2"/>
      <w:numFmt w:val="bullet"/>
      <w:start w:val="1"/>
    </w:lvl>
  </w:abstractNum>
  <w:abstractNum w:abstractNumId="1">
    <w:nsid w:val="79E2A9E3"/>
    <w:multiLevelType w:val="hybridMultilevel"/>
    <w:lvl w:ilvl="0">
      <w:lvlJc w:val="left"/>
      <w:lvlText w:val="3"/>
      <w:numFmt w:val="bullet"/>
      <w:start w:val="1"/>
    </w:lvl>
  </w:abstractNum>
  <w:abstractNum w:abstractNumId="2">
    <w:nsid w:val="7545E146"/>
    <w:multiLevelType w:val="hybridMultilevel"/>
    <w:lvl w:ilvl="0">
      <w:lvlJc w:val="left"/>
      <w:lvlText w:val="2"/>
      <w:numFmt w:val="bullet"/>
      <w:start w:val="1"/>
    </w:lvl>
  </w:abstractNum>
  <w:abstractNum w:abstractNumId="3">
    <w:nsid w:val="515F007C"/>
    <w:multiLevelType w:val="hybridMultilevel"/>
    <w:lvl w:ilvl="0">
      <w:lvlJc w:val="left"/>
      <w:lvlText w:val="3"/>
      <w:numFmt w:val="bullet"/>
      <w:start w:val="1"/>
    </w:lvl>
  </w:abstractNum>
  <w:abstractNum w:abstractNumId="4">
    <w:nsid w:val="5BD062C2"/>
    <w:multiLevelType w:val="hybridMultilevel"/>
    <w:lvl w:ilvl="0">
      <w:lvlJc w:val="left"/>
      <w:lvlText w:val="9"/>
      <w:numFmt w:val="bullet"/>
      <w:start w:val="1"/>
    </w:lvl>
  </w:abstractNum>
  <w:abstractNum w:abstractNumId="5">
    <w:nsid w:val="12200854"/>
    <w:multiLevelType w:val="hybridMultilevel"/>
    <w:lvl w:ilvl="0">
      <w:lvlJc w:val="left"/>
      <w:lvlText w:val="2"/>
      <w:numFmt w:val="bullet"/>
      <w:start w:val="1"/>
    </w:lvl>
  </w:abstractNum>
  <w:abstractNum w:abstractNumId="6">
    <w:nsid w:val="4DB127F8"/>
    <w:multiLevelType w:val="hybridMultilevel"/>
    <w:lvl w:ilvl="0">
      <w:lvlJc w:val="left"/>
      <w:lvlText w:val="2"/>
      <w:numFmt w:val="bullet"/>
      <w:start w:val="1"/>
    </w:lvl>
  </w:abstractNum>
  <w:abstractNum w:abstractNumId="7">
    <w:nsid w:val="216231B"/>
    <w:multiLevelType w:val="hybridMultilevel"/>
    <w:lvl w:ilvl="0">
      <w:lvlJc w:val="left"/>
      <w:lvlText w:val="(%1)"/>
      <w:numFmt w:val="lowerLetter"/>
      <w:start w:val="1"/>
    </w:lvl>
  </w:abstractNum>
  <w:abstractNum w:abstractNumId="8">
    <w:nsid w:val="1F16E9E8"/>
    <w:multiLevelType w:val="hybridMultilevel"/>
    <w:lvl w:ilvl="0">
      <w:lvlJc w:val="left"/>
      <w:lvlText w:val="(%1)"/>
      <w:numFmt w:val="lowerLetter"/>
      <w:start w:val="1"/>
    </w:lvl>
  </w:abstractNum>
  <w:abstractNum w:abstractNumId="9">
    <w:nsid w:val="1190CDE7"/>
    <w:multiLevelType w:val="hybridMultilevel"/>
    <w:lvl w:ilvl="0">
      <w:lvlJc w:val="left"/>
      <w:lvlText w:val="(%1)"/>
      <w:numFmt w:val="lowerLetter"/>
      <w:start w:val="1"/>
    </w:lvl>
  </w:abstractNum>
  <w:abstractNum w:abstractNumId="10">
    <w:nsid w:val="66EF438D"/>
    <w:multiLevelType w:val="hybridMultilevel"/>
    <w:lvl w:ilvl="0">
      <w:lvlJc w:val="left"/>
      <w:lvlText w:val="(%1)"/>
      <w:numFmt w:val="lowerLetter"/>
      <w:start w:val="11"/>
    </w:lvl>
  </w:abstractNum>
  <w:abstractNum w:abstractNumId="11">
    <w:nsid w:val="140E0F76"/>
    <w:multiLevelType w:val="hybridMultilevel"/>
    <w:lvl w:ilvl="0">
      <w:lvlJc w:val="left"/>
      <w:lvlText w:val="(%1)"/>
      <w:numFmt w:val="lowerLetter"/>
      <w:start w:val="1"/>
    </w:lvl>
  </w:abstractNum>
  <w:abstractNum w:abstractNumId="12">
    <w:nsid w:val="3352255A"/>
    <w:multiLevelType w:val="hybridMultilevel"/>
    <w:lvl w:ilvl="0">
      <w:lvlJc w:val="left"/>
      <w:lvlText w:val="(%1)"/>
      <w:numFmt w:val="lowerLetter"/>
      <w:start w:val="3"/>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jpeg"/><Relationship Id="rId19" Type="http://schemas.openxmlformats.org/officeDocument/2006/relationships/image" Target="media/image12.jpeg"/><Relationship Id="rId20" Type="http://schemas.openxmlformats.org/officeDocument/2006/relationships/image" Target="media/image13.jpeg"/><Relationship Id="rId21" Type="http://schemas.openxmlformats.org/officeDocument/2006/relationships/image" Target="media/image14.jpeg"/><Relationship Id="rId22" Type="http://schemas.openxmlformats.org/officeDocument/2006/relationships/image" Target="media/image15.jpeg"/><Relationship Id="rId23" Type="http://schemas.openxmlformats.org/officeDocument/2006/relationships/image" Target="media/image16.jpeg"/><Relationship Id="rId24" Type="http://schemas.openxmlformats.org/officeDocument/2006/relationships/image" Target="media/image17.jpeg"/><Relationship Id="rId25" Type="http://schemas.openxmlformats.org/officeDocument/2006/relationships/image" Target="media/image18.jpeg"/><Relationship Id="rId26" Type="http://schemas.openxmlformats.org/officeDocument/2006/relationships/image" Target="media/image19.jpeg"/><Relationship Id="rId27" Type="http://schemas.openxmlformats.org/officeDocument/2006/relationships/image" Target="media/image20.jpeg"/><Relationship Id="rId28" Type="http://schemas.openxmlformats.org/officeDocument/2006/relationships/image" Target="media/image21.jpeg"/><Relationship Id="rId29" Type="http://schemas.openxmlformats.org/officeDocument/2006/relationships/image" Target="media/image22.jpeg"/><Relationship Id="rId30" Type="http://schemas.openxmlformats.org/officeDocument/2006/relationships/image" Target="media/image23.jpeg"/><Relationship Id="rId31" Type="http://schemas.openxmlformats.org/officeDocument/2006/relationships/image" Target="media/image24.jpeg"/><Relationship Id="rId32" Type="http://schemas.openxmlformats.org/officeDocument/2006/relationships/image" Target="media/image25.jpeg"/><Relationship Id="rId33" Type="http://schemas.openxmlformats.org/officeDocument/2006/relationships/image" Target="media/image26.jpeg"/><Relationship Id="rId34" Type="http://schemas.openxmlformats.org/officeDocument/2006/relationships/image" Target="media/image27.jpeg"/><Relationship Id="rId35" Type="http://schemas.openxmlformats.org/officeDocument/2006/relationships/image" Target="media/image28.jpeg"/><Relationship Id="rId36" Type="http://schemas.openxmlformats.org/officeDocument/2006/relationships/image" Target="media/image29.jpeg"/><Relationship Id="rId37" Type="http://schemas.openxmlformats.org/officeDocument/2006/relationships/image" Target="media/image30.jpeg"/><Relationship Id="rId38" Type="http://schemas.openxmlformats.org/officeDocument/2006/relationships/image" Target="media/image31.jpeg"/><Relationship Id="rId39" Type="http://schemas.openxmlformats.org/officeDocument/2006/relationships/image" Target="media/image32.jpeg"/><Relationship Id="rId40" Type="http://schemas.openxmlformats.org/officeDocument/2006/relationships/image" Target="media/image33.jpeg"/><Relationship Id="rId41" Type="http://schemas.openxmlformats.org/officeDocument/2006/relationships/image" Target="media/image3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2025-02-06T11:37:10Z</dcterms:created>
  <dcterms:modified xsi:type="dcterms:W3CDTF">2025-02-06T11:37:10Z</dcterms:modified>
</cp:coreProperties>
</file>